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right"/>
      </w:pPr>
      <w:r>
        <w:rPr>
          <w:rFonts w:ascii="Times New Roman" w:hAnsi="Times New Roman" w:eastAsia="Times New Roman"/>
          <w:b/>
          <w:i w:val="0"/>
          <w:color w:val="000000"/>
          <w:sz w:val="20"/>
        </w:rPr>
        <w:t>Для служебного пользования</w:t>
        <w:br/>
        <w:t>Экз. № «ЗАПОЛНИТЬ»</w:t>
      </w:r>
    </w:p>
    <w:p>
      <w:pPr>
        <w:spacing w:after="280"/>
        <w:ind w:left="5216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УТВЕРЖДАЮ</w:t>
        <w:br/>
      </w:r>
      <w:r>
        <w:rPr>
          <w:rFonts w:ascii="Times New Roman" w:hAnsi="Times New Roman" w:eastAsia="Times New Roman"/>
          <w:b w:val="0"/>
          <w:i w:val="0"/>
          <w:color w:val="000000"/>
          <w:sz w:val="20"/>
        </w:rPr>
        <w:t>«ЗАПОЛНИТЬ: должность руководителя»</w:t>
        <w:br/>
      </w:r>
      <w:r>
        <w:rPr>
          <w:rFonts w:ascii="Times New Roman" w:hAnsi="Times New Roman" w:eastAsia="Times New Roman"/>
          <w:b w:val="0"/>
          <w:i w:val="0"/>
          <w:color w:val="000000"/>
          <w:sz w:val="20"/>
        </w:rPr>
        <w:t>______________  «ЗАПОЛНИТЬ: Ф.И.О.»</w:t>
        <w:br/>
      </w:r>
      <w:r>
        <w:rPr>
          <w:rFonts w:ascii="Times New Roman" w:hAnsi="Times New Roman" w:eastAsia="Times New Roman"/>
          <w:b w:val="0"/>
          <w:i w:val="0"/>
          <w:color w:val="666666"/>
          <w:sz w:val="16"/>
        </w:rPr>
        <w:t xml:space="preserve">        (подпись)</w:t>
        <w:br/>
      </w:r>
      <w:r>
        <w:rPr>
          <w:rFonts w:ascii="Times New Roman" w:hAnsi="Times New Roman" w:eastAsia="Times New Roman"/>
          <w:b w:val="0"/>
          <w:i w:val="0"/>
          <w:color w:val="000000"/>
          <w:sz w:val="20"/>
        </w:rPr>
        <w:t>М.П.</w:t>
        <w:br/>
        <w:t>«___» ____________ 20___ г.</w:t>
      </w:r>
    </w:p>
    <w:p>
      <w:pPr>
        <w:spacing w:before="400" w:after="10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30"/>
        </w:rPr>
        <w:t>ПАСПОРТ</w:t>
      </w:r>
    </w:p>
    <w:p>
      <w:pPr>
        <w:spacing w:after="36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ОБЕСПЕЧЕНИЯ ТРАНСПОРТНОЙ БЕЗОПАСНОСТИ ТРАНСПОРТНОГО СРЕДСТВА (ГРУППЫ ТРАНСПОРТНЫХ СРЕДСТВ) АВТОМОБИЛЬНОГО ТРАНСПОРТА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9638"/>
      </w:tblGrid>
      <w:tr>
        <w:tc>
          <w:tcPr>
            <w:tcW w:type="dxa" w:w="963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18"/>
              </w:rPr>
              <w:t>РАБОЧИЙ ШАБЛОН ДЛЯ ТС, ОСУЩЕСТВЛЯЮЩЕГО ПЕРЕВОЗКУ ОПАСНЫХ ГРУЗОВ, НА КОТОРЫЕ ТРЕБУЕТСЯ СПЕЦИАЛЬНОЕ РАЗРЕШЕНИЕ. До утверждения заполните все желтые поля, удалите служебные подсказки, приложите фактические документы и схемы. Нормативная основа: типовая форма приложения и пункты 6, 13-15 Требований, утвержденных постановлением Правительства РФ от 08.10.2020 № 1640, в действующей редакции.</w:t>
            </w:r>
          </w:p>
        </w:tc>
      </w:tr>
    </w:tbl>
    <w:p>
      <w:pPr>
        <w:spacing w:after="0"/>
      </w:pPr>
    </w:p>
    <w:p>
      <w:pPr>
        <w:spacing w:before="920"/>
        <w:jc w:val="center"/>
      </w:pPr>
      <w:r>
        <w:rPr>
          <w:rFonts w:ascii="Times New Roman" w:hAnsi="Times New Roman" w:eastAsia="Times New Roman"/>
          <w:b w:val="0"/>
          <w:i w:val="0"/>
          <w:color w:val="000000"/>
          <w:sz w:val="20"/>
        </w:rPr>
        <w:t>«ЗАПОЛНИТЬ: населенный пункт»</w:t>
      </w:r>
    </w:p>
    <w:p>
      <w:pPr>
        <w:jc w:val="center"/>
      </w:pPr>
      <w:r>
        <w:rPr>
          <w:rFonts w:ascii="Times New Roman" w:hAnsi="Times New Roman" w:eastAsia="Times New Roman"/>
          <w:b w:val="0"/>
          <w:i w:val="0"/>
          <w:color w:val="000000"/>
          <w:sz w:val="20"/>
        </w:rPr>
        <w:t>20___ г.</w:t>
      </w:r>
    </w:p>
    <w:p>
      <w:r>
        <w:br w:type="page"/>
      </w:r>
    </w:p>
    <w:p>
      <w:pPr>
        <w:pStyle w:val="Heading1"/>
        <w:keepNext/>
      </w:pPr>
      <w:r>
        <w:t>1. Общие сведения о субъекте транспортной инфраструктуры (перевозчике)</w:t>
      </w:r>
    </w:p>
    <w:tbl>
      <w:tblPr>
        <w:tblStyle w:val="TableGrid"/>
        <w:tblW w:type="dxa" w:w="9638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3402"/>
        <w:gridCol w:w="6236"/>
      </w:tblGrid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Полное и краткое наименование; организационно-правовая форма по ОКОПФ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Адрес по ЕГРЮЛ/ЕГРИП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Фактический адрес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Контактные данные: телефон, факс, электронная почта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ОГРН/ОГРНИП и дата внесения записи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ИНН и дата присвоения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</w:tbl>
    <w:p>
      <w:pPr>
        <w:pStyle w:val="Heading1"/>
        <w:keepNext/>
      </w:pPr>
      <w:r>
        <w:t>2. Сведения о транспортном средстве (группе транспортных средств) и об осуществляемых перевозках</w:t>
      </w:r>
    </w:p>
    <w:tbl>
      <w:tblPr>
        <w:tblStyle w:val="TableGrid"/>
        <w:tblW w:type="dxa" w:w="9638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4139"/>
        <w:gridCol w:w="5499"/>
      </w:tblGrid>
      <w:tr>
        <w:trPr>
          <w:cantSplit/>
        </w:trPr>
        <w:tc>
          <w:tcPr>
            <w:tcW w:type="dxa" w:w="41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Реестровый номер (серия и номер) согласно реестру объектов транспортной инфраструктуры и транспортных средств (для группы — отдельно по каждому ТС)</w:t>
            </w:r>
          </w:p>
        </w:tc>
        <w:tc>
          <w:tcPr>
            <w:tcW w:type="dxa" w:w="549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41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Марка, модель (для группы — отдельно по каждому ТС)</w:t>
            </w:r>
          </w:p>
        </w:tc>
        <w:tc>
          <w:tcPr>
            <w:tcW w:type="dxa" w:w="549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41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Модификация (для группы — отдельно по каждому ТС)</w:t>
            </w:r>
          </w:p>
        </w:tc>
        <w:tc>
          <w:tcPr>
            <w:tcW w:type="dxa" w:w="549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41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Категория и класс по ТР ТС 018/2011 «О безопасности колесных транспортных средств»</w:t>
            </w:r>
          </w:p>
        </w:tc>
        <w:tc>
          <w:tcPr>
            <w:tcW w:type="dxa" w:w="549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41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Идентификационный номер (VIN) (в предусмотренных Требованиями случаях; для группы — отдельно по каждому ТС)</w:t>
            </w:r>
          </w:p>
        </w:tc>
        <w:tc>
          <w:tcPr>
            <w:tcW w:type="dxa" w:w="549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41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Идентификационный номер (VIN) подменных транспортных средств</w:t>
            </w:r>
          </w:p>
        </w:tc>
        <w:tc>
          <w:tcPr>
            <w:tcW w:type="dxa" w:w="549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 / отсутствуют»</w:t>
            </w:r>
          </w:p>
        </w:tc>
      </w:tr>
      <w:tr>
        <w:trPr>
          <w:cantSplit/>
        </w:trPr>
        <w:tc>
          <w:tcPr>
            <w:tcW w:type="dxa" w:w="41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Назначение перевозки</w:t>
            </w:r>
          </w:p>
        </w:tc>
        <w:tc>
          <w:tcPr>
            <w:tcW w:type="dxa" w:w="549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Перевозка опасных грузов, на которые требуется специальное разрешение</w:t>
            </w:r>
          </w:p>
        </w:tc>
      </w:tr>
      <w:tr>
        <w:trPr>
          <w:cantSplit/>
        </w:trPr>
        <w:tc>
          <w:tcPr>
            <w:tcW w:type="dxa" w:w="41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Маршрут(ы): начальный, промежуточные и конечный пункты погрузки-выгрузки груза; для группы — реестровый номер каждого ТС по каждому маршруту</w:t>
            </w:r>
          </w:p>
        </w:tc>
        <w:tc>
          <w:tcPr>
            <w:tcW w:type="dxa" w:w="549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«ЗАПОЛНИТЬ; при нескольких маршрутах приложить отдельный перечень»</w:t>
            </w:r>
          </w:p>
        </w:tc>
      </w:tr>
      <w:tr>
        <w:trPr>
          <w:cantSplit/>
        </w:trPr>
        <w:tc>
          <w:tcPr>
            <w:tcW w:type="dxa" w:w="41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Вид осуществляемой перевозки (регулярная, по заказу)</w:t>
            </w:r>
          </w:p>
        </w:tc>
        <w:tc>
          <w:tcPr>
            <w:tcW w:type="dxa" w:w="549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 / не применимо»</w:t>
            </w:r>
          </w:p>
        </w:tc>
      </w:tr>
      <w:tr>
        <w:trPr>
          <w:cantSplit/>
        </w:trPr>
        <w:tc>
          <w:tcPr>
            <w:tcW w:type="dxa" w:w="41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Вид сообщения осуществляемой перевозки (городское, пригородное, междугородное в границах одного субъекта РФ или международное)</w:t>
            </w:r>
          </w:p>
        </w:tc>
        <w:tc>
          <w:tcPr>
            <w:tcW w:type="dxa" w:w="549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 / не применимо»</w:t>
            </w:r>
          </w:p>
        </w:tc>
      </w:tr>
    </w:tbl>
    <w:p>
      <w:pPr>
        <w:pStyle w:val="Heading2"/>
        <w:keepNext/>
      </w:pPr>
      <w:r>
        <w:t>2.1. Дополнительные рабочие сведения об опасном грузе и разрешительных документах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9638"/>
      </w:tblGrid>
      <w:tr>
        <w:tc>
          <w:tcPr>
            <w:tcW w:type="dxa" w:w="963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18"/>
              </w:rPr>
              <w:t>Эти поля конкретизируют перевозку, но не заменяют специальное разрешение, транспортные документы и документы, предусмотренные ДОПОГ.</w:t>
            </w:r>
          </w:p>
        </w:tc>
      </w:tr>
    </w:tbl>
    <w:p>
      <w:pPr>
        <w:spacing w:after="0"/>
      </w:pPr>
    </w:p>
    <w:tbl>
      <w:tblPr>
        <w:tblStyle w:val="TableGrid"/>
        <w:tblW w:type="dxa" w:w="9638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4139"/>
        <w:gridCol w:w="5499"/>
      </w:tblGrid>
      <w:tr>
        <w:trPr>
          <w:cantSplit/>
        </w:trPr>
        <w:tc>
          <w:tcPr>
            <w:tcW w:type="dxa" w:w="41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Номер ООН и надлежащее отгрузочное наименование опасного груза</w:t>
            </w:r>
          </w:p>
        </w:tc>
        <w:tc>
          <w:tcPr>
            <w:tcW w:type="dxa" w:w="549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41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Класс/подкласс опасности, классификационный код, группа упаковки</w:t>
            </w:r>
          </w:p>
        </w:tc>
        <w:tc>
          <w:tcPr>
            <w:tcW w:type="dxa" w:w="549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41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Количество груза; способ перевозки, упаковка/контейнер/цистерна</w:t>
            </w:r>
          </w:p>
        </w:tc>
        <w:tc>
          <w:tcPr>
            <w:tcW w:type="dxa" w:w="549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41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Специальное разрешение: номер, дата, срок действия, разрешенный маршрут</w:t>
            </w:r>
          </w:p>
        </w:tc>
        <w:tc>
          <w:tcPr>
            <w:tcW w:type="dxa" w:w="549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41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Свидетельство о допущении ТС к перевозке опасных грузов: номер и срок действия</w:t>
            </w:r>
          </w:p>
        </w:tc>
        <w:tc>
          <w:tcPr>
            <w:tcW w:type="dxa" w:w="549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 / не требуется»</w:t>
            </w:r>
          </w:p>
        </w:tc>
      </w:tr>
      <w:tr>
        <w:trPr>
          <w:cantSplit/>
        </w:trPr>
        <w:tc>
          <w:tcPr>
            <w:tcW w:type="dxa" w:w="41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Свидетельство ДОПОГ водителя: номер, разрешенные классы, срок действия</w:t>
            </w:r>
          </w:p>
        </w:tc>
        <w:tc>
          <w:tcPr>
            <w:tcW w:type="dxa" w:w="549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41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Письменные инструкции и транспортный документ на опасный груз</w:t>
            </w:r>
          </w:p>
        </w:tc>
        <w:tc>
          <w:tcPr>
            <w:tcW w:type="dxa" w:w="549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«ЗАПОЛНИТЬ: наименование, реквизиты, место хранения»</w:t>
            </w:r>
          </w:p>
        </w:tc>
      </w:tr>
    </w:tbl>
    <w:p>
      <w:pPr>
        <w:sectPr>
          <w:footerReference w:type="default" r:id="rId9"/>
          <w:pgSz w:w="11906" w:h="16838"/>
          <w:pgMar w:top="1134" w:right="1134" w:bottom="1134" w:left="1134" w:header="567" w:footer="567" w:gutter="0"/>
          <w:cols w:space="720"/>
          <w:docGrid w:linePitch="360"/>
        </w:sectPr>
      </w:pPr>
    </w:p>
    <w:p>
      <w:pPr>
        <w:pStyle w:val="Heading1"/>
        <w:keepNext/>
      </w:pPr>
      <w:r>
        <w:t>3. Сведения об оснащенности техническими средствами обеспечения транспортной безопасности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9638"/>
      </w:tblGrid>
      <w:tr>
        <w:tc>
          <w:tcPr>
            <w:tcW w:type="dxa" w:w="963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18"/>
              </w:rPr>
              <w:t>Укажите только фактически установленные и введенные в эксплуатацию средства. Для каждого средства приведите марку/модель, серийный номер, характеристики, место установки и документ о вводе в эксплуатацию.</w:t>
            </w:r>
          </w:p>
        </w:tc>
      </w:tr>
    </w:tbl>
    <w:p>
      <w:pPr>
        <w:spacing w:after="0"/>
      </w:pPr>
    </w:p>
    <w:tbl>
      <w:tblPr>
        <w:tblStyle w:val="TableGrid"/>
        <w:tblW w:type="dxa" w:w="14003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567"/>
        <w:gridCol w:w="2324"/>
        <w:gridCol w:w="2494"/>
        <w:gridCol w:w="2948"/>
        <w:gridCol w:w="2268"/>
        <w:gridCol w:w="3402"/>
      </w:tblGrid>
      <w:tr>
        <w:trPr>
          <w:tblHeader w:val="true"/>
        </w:trPr>
        <w:tc>
          <w:tcPr>
            <w:tcW w:type="dxa" w:w="56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DEDED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>№ п/п</w:t>
            </w:r>
          </w:p>
        </w:tc>
        <w:tc>
          <w:tcPr>
            <w:tcW w:type="dxa" w:w="23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DEDED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>Адрес местонахождения пункта управления</w:t>
            </w:r>
          </w:p>
        </w:tc>
        <w:tc>
          <w:tcPr>
            <w:tcW w:type="dxa" w:w="24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DEDED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>Ответственный за функционирование пункта управления</w:t>
            </w:r>
          </w:p>
        </w:tc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DEDED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>Наименование технического средства</w:t>
            </w:r>
          </w:p>
        </w:tc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DEDED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>Место размещения</w:t>
            </w:r>
          </w:p>
        </w:tc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DEDED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>Описание и характеристики</w:t>
            </w:r>
          </w:p>
        </w:tc>
      </w:tr>
      <w:tr>
        <w:trPr>
          <w:cantSplit/>
        </w:trPr>
        <w:tc>
          <w:tcPr>
            <w:tcW w:type="dxa" w:w="56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1</w:t>
            </w:r>
          </w:p>
        </w:tc>
        <w:tc>
          <w:tcPr>
            <w:tcW w:type="dxa" w:w="23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 / отсутствует»</w:t>
            </w:r>
          </w:p>
        </w:tc>
        <w:tc>
          <w:tcPr>
            <w:tcW w:type="dxa" w:w="24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 / не назначается»</w:t>
            </w:r>
          </w:p>
        </w:tc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Система видеонаблюдения и видеозаписи в месте (местах) размещения груза</w:t>
            </w:r>
          </w:p>
        </w:tc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«ЗАПОЛНИТЬ: марка, модель, число камер, разрешение, серийные номера, зоны обзора»</w:t>
            </w:r>
          </w:p>
        </w:tc>
      </w:tr>
      <w:tr>
        <w:trPr>
          <w:cantSplit/>
        </w:trPr>
        <w:tc>
          <w:tcPr>
            <w:tcW w:type="dxa" w:w="56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2</w:t>
            </w:r>
          </w:p>
        </w:tc>
        <w:tc>
          <w:tcPr>
            <w:tcW w:type="dxa" w:w="23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То же</w:t>
            </w:r>
          </w:p>
        </w:tc>
        <w:tc>
          <w:tcPr>
            <w:tcW w:type="dxa" w:w="24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То же</w:t>
            </w:r>
          </w:p>
        </w:tc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Система видеонаблюдения и видеозаписи в кабине управления ТС</w:t>
            </w:r>
          </w:p>
        </w:tc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56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3</w:t>
            </w:r>
          </w:p>
        </w:tc>
        <w:tc>
          <w:tcPr>
            <w:tcW w:type="dxa" w:w="23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То же</w:t>
            </w:r>
          </w:p>
        </w:tc>
        <w:tc>
          <w:tcPr>
            <w:tcW w:type="dxa" w:w="24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То же</w:t>
            </w:r>
          </w:p>
        </w:tc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Средства оповещения и связи</w:t>
            </w:r>
          </w:p>
        </w:tc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«ЗАПОЛНИТЬ: тип связи, резервный канал, абонентские номера»</w:t>
            </w:r>
          </w:p>
        </w:tc>
      </w:tr>
      <w:tr>
        <w:trPr>
          <w:cantSplit/>
        </w:trPr>
        <w:tc>
          <w:tcPr>
            <w:tcW w:type="dxa" w:w="56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4</w:t>
            </w:r>
          </w:p>
        </w:tc>
        <w:tc>
          <w:tcPr>
            <w:tcW w:type="dxa" w:w="23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То же</w:t>
            </w:r>
          </w:p>
        </w:tc>
        <w:tc>
          <w:tcPr>
            <w:tcW w:type="dxa" w:w="24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То же</w:t>
            </w:r>
          </w:p>
        </w:tc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Средства обработки, накопления и хранения видеоинформации</w:t>
            </w:r>
          </w:p>
        </w:tc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«ЗАПОЛНИТЬ: срок хранения не менее 30 суток; емкость; порядок выгрузки»</w:t>
            </w:r>
          </w:p>
        </w:tc>
      </w:tr>
      <w:tr>
        <w:trPr>
          <w:cantSplit/>
        </w:trPr>
        <w:tc>
          <w:tcPr>
            <w:tcW w:type="dxa" w:w="56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5</w:t>
            </w:r>
          </w:p>
        </w:tc>
        <w:tc>
          <w:tcPr>
            <w:tcW w:type="dxa" w:w="23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 / отсутствует»</w:t>
            </w:r>
          </w:p>
        </w:tc>
        <w:tc>
          <w:tcPr>
            <w:tcW w:type="dxa" w:w="24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 / не назначается»</w:t>
            </w:r>
          </w:p>
        </w:tc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Оборудование пункта управления (при наличии)</w:t>
            </w:r>
          </w:p>
        </w:tc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</w:tr>
    </w:tbl>
    <w:p>
      <w:pPr>
        <w:sectPr>
          <w:pgSz w:w="16838" w:h="11906" w:orient="landscape"/>
          <w:pgMar w:top="850" w:right="850" w:bottom="850" w:left="850" w:header="567" w:footer="567" w:gutter="0"/>
          <w:cols w:space="720"/>
          <w:docGrid w:linePitch="360"/>
        </w:sectPr>
      </w:pPr>
    </w:p>
    <w:p>
      <w:pPr>
        <w:pStyle w:val="Heading1"/>
        <w:keepNext/>
      </w:pPr>
      <w:r>
        <w:t>4. Меры по обеспечению транспортной безопасности транспортного средства (группы транспортных средств)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9638"/>
      </w:tblGrid>
      <w:tr>
        <w:tc>
          <w:tcPr>
            <w:tcW w:type="dxa" w:w="963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18"/>
              </w:rPr>
              <w:t>Формулировки ниже являются проектом мер для российского перевозчика опасных грузов, на которые требуется специальное разрешение. Дополните их фактическими исполнителями, местами, средствами, журналами и локальными документами.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4.1. При уровне безопасности № 1 (постоянный)</w:t>
      </w:r>
    </w:p>
    <w:p>
      <w:pPr>
        <w:pStyle w:val="ListBullet"/>
        <w:keepLines/>
        <w:spacing w:after="60" w:line="252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Приказами перевозчика назначены лицо, ответственное за обеспечение транспортной безопасности в субъекте транспортной инфраструктуры (при наличии более одного ТС), и лицо, ответственное за обеспечение транспортной безопасности данного ТС (группы ТС).</w:t>
      </w:r>
    </w:p>
    <w:p>
      <w:pPr>
        <w:pStyle w:val="ListBullet"/>
        <w:keepLines/>
        <w:spacing w:after="60" w:line="252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Сведения для ведения реестра объектов транспортной инфраструктуры и транспортных средств представлены в Федеральное дорожное агентство; изменения направляются в установленном порядке.</w:t>
      </w:r>
    </w:p>
    <w:p>
      <w:pPr>
        <w:pStyle w:val="ListBullet"/>
        <w:keepLines/>
        <w:spacing w:after="60" w:line="252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Паспорт разработан, утвержден и направлен в Федеральное дорожное агентство по типовой форме; защита ТС организована силами обеспечения транспортной безопасности в соответствии с настоящим паспортом.</w:t>
      </w:r>
    </w:p>
    <w:p>
      <w:pPr>
        <w:pStyle w:val="ListBullet"/>
        <w:keepLines/>
        <w:spacing w:after="60" w:line="252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ТС оснащено предусмотренными паспортом техническими средствами обеспечения транспортной безопасности; обеспечены их исправность, защита от несанкционированного доступа и постоянная готовность средств связи.</w:t>
      </w:r>
    </w:p>
    <w:p>
      <w:pPr>
        <w:pStyle w:val="ListBullet"/>
        <w:keepLines/>
        <w:spacing w:after="60" w:line="252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Обращение со сведениями, содержащимися в паспорте, организовано в установленном порядке; экземпляры паспорта учитываются и хранятся по правилам приложения 7.</w:t>
      </w:r>
    </w:p>
    <w:p>
      <w:pPr>
        <w:pStyle w:val="ListBullet"/>
        <w:keepLines/>
        <w:spacing w:after="60" w:line="252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Обеспечены доступ к данным технических средств и их передача уполномоченным подразделениям ФСБ России, МВД России и Ространснадзора в установленном порядке; все обращения и выгрузки регистрируются.</w:t>
      </w:r>
    </w:p>
    <w:p>
      <w:pPr>
        <w:pStyle w:val="ListBullet"/>
        <w:keepLines/>
        <w:spacing w:after="60" w:line="252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Лица, выполняющие работу, непосредственно связанную с обеспечением транспортной безопасности, проверены, подготовлены и аттестованы; лица с установленными законом ограничениями к такой работе не допускаются.</w:t>
      </w:r>
    </w:p>
    <w:p>
      <w:pPr>
        <w:pStyle w:val="ListBullet"/>
        <w:keepLines/>
        <w:spacing w:after="60" w:line="252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Все физические лица, находящиеся на ТС, информируются в наглядной и доступной форме о касающихся их требованиях законодательства Российской Федерации в области транспортной безопасности.</w:t>
      </w:r>
    </w:p>
    <w:p>
      <w:pPr>
        <w:pStyle w:val="ListBullet"/>
        <w:keepLines/>
        <w:spacing w:after="60" w:line="252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Изменения, влияющие на меры и сведения паспорта, вносятся с переутверждением и направлением в Росавтодор в установленные сроки; при переходе права собственности или права использования оформляется новый паспорт и аннулируется ранее утвержденный.</w:t>
      </w:r>
    </w:p>
    <w:p>
      <w:pPr>
        <w:pStyle w:val="ListBullet"/>
        <w:keepLines/>
        <w:spacing w:after="60" w:line="252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Угрозы и факты совершения актов незаконного вмешательства незамедлительно передаются Росавтодору и уполномоченным подразделениям ФСБ России, МВД России и Ространснадзора по правилам приложения 5.</w:t>
      </w:r>
    </w:p>
    <w:p>
      <w:pPr>
        <w:pStyle w:val="ListBullet"/>
        <w:keepLines/>
        <w:spacing w:after="60" w:line="252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Уровень безопасности объявляется и отменяется на основании решения об изменении степени угрозы; дополнительные меры вводятся не позднее 1,5 часа с момента получения сообщения по порядку приложения 6.</w:t>
      </w:r>
    </w:p>
    <w:p>
      <w:pPr>
        <w:pStyle w:val="ListBullet"/>
        <w:keepLines/>
        <w:spacing w:after="60" w:line="252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Ответственные лица обеспечены основной и резервной связью с силами ОТБ, экипажем и взаимодействующими объектами транспортной инфраструктуры; сведения о пункте управления отражены в паспорте при его наличии.</w:t>
      </w:r>
    </w:p>
    <w:p>
      <w:pPr>
        <w:pStyle w:val="ListBullet"/>
        <w:keepLines/>
        <w:spacing w:after="60" w:line="252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Границы зоны транспортной безопасности установлены по внешним конструктивным границам ТС; информация об угрозах проверяется, а реагирование и передача тревожного сигнала осуществляются по утвержденным алгоритмам.</w:t>
      </w:r>
    </w:p>
    <w:p>
      <w:pPr>
        <w:pStyle w:val="ListBullet"/>
        <w:keepLines/>
        <w:spacing w:after="60" w:line="252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Доступ третьих лиц к системам, агрегатам, механизмам, средствам управления и обеспечения функционирования ТС ограничен конструктивными и организационными мерами.</w:t>
      </w:r>
    </w:p>
    <w:p>
      <w:pPr>
        <w:pStyle w:val="ListBullet"/>
        <w:keepLines/>
        <w:spacing w:after="60" w:line="252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Не реже одного раза в год проводятся учения и тренировки для оценки эффективности и полноты реализации паспорта с оформлением протокола и корректирующих мероприятий.</w:t>
      </w:r>
    </w:p>
    <w:p>
      <w:pPr>
        <w:pStyle w:val="ListBullet"/>
        <w:keepLines/>
        <w:spacing w:after="60" w:line="252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Организационно-распорядительным документом утверждены перечни должностей лиц, работающих в зоне транспортной безопасности и непосредственно связанных с обеспечением транспортной безопасности.</w:t>
      </w:r>
    </w:p>
    <w:p>
      <w:pPr>
        <w:pStyle w:val="Heading3"/>
        <w:keepNext/>
      </w:pPr>
      <w:r>
        <w:t>Специальные меры для перевозки опасных грузов (пункт 13 Требований)</w:t>
      </w:r>
    </w:p>
    <w:p>
      <w:pPr>
        <w:pStyle w:val="ListBullet2"/>
        <w:keepLines/>
        <w:spacing w:after="60" w:line="252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Силами обеспечения транспортной безопасности проводится осмотр ТС перед выходом на маршрут, после погрузки-выгрузки и по прибытии с маршрута для выявления предметов и веществ, запрещенных или ограниченных к перемещению в зону транспортной безопасности ТС; результаты фиксируются в журнале.</w:t>
      </w:r>
    </w:p>
    <w:p>
      <w:pPr>
        <w:pStyle w:val="ListBullet2"/>
        <w:keepLines/>
        <w:spacing w:after="60" w:line="252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ТС оборудовано средствами видеонаблюдения и видеозаписи в кабине управления и в месте (местах) размещения груза, средствами оповещения и связи, а также обработки, накопления и хранения видеоинформации не менее 30 суток.</w:t>
      </w:r>
    </w:p>
    <w:p>
      <w:pPr>
        <w:pStyle w:val="ListBullet2"/>
        <w:keepLines/>
        <w:spacing w:after="60" w:line="252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Технические средства обеспечения транспортной безопасности функционируют непрерывно в период осуществления перевозки груза.</w:t>
      </w:r>
    </w:p>
    <w:p>
      <w:pPr>
        <w:pStyle w:val="ListBullet2"/>
        <w:keepLines/>
        <w:spacing w:after="60" w:line="252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При обслуживании, стоянке и остановке ТС визуальным контролем выявляются попытки перемещения предметов и веществ, запрещенных или ограниченных к перемещению в зону транспортной безопасности ТС.</w:t>
      </w:r>
    </w:p>
    <w:p>
      <w:pPr>
        <w:pStyle w:val="ListBullet2"/>
        <w:keepLines/>
        <w:spacing w:after="60" w:line="252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Обеспечена устойчивая основная и резервная связь сил ОТБ и экипажа с ответственным за ОТБ ТС либо с пунктом управления при его наличии.</w:t>
      </w:r>
    </w:p>
    <w:p>
      <w:pPr>
        <w:pStyle w:val="Heading2"/>
        <w:keepNext/>
      </w:pPr>
      <w:r>
        <w:t>4.2. При объявлении (установлении) уровня безопасности № 2</w:t>
      </w:r>
    </w:p>
    <w:p>
      <w:pPr>
        <w:pStyle w:val="ListBullet"/>
        <w:keepLines/>
        <w:spacing w:after="60" w:line="252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Все меры уровня № 1 продолжают выполняться в полном объеме; информация об изменении уровня доводится по приложению 6, факт получения подтверждается и регистрируется.</w:t>
      </w:r>
    </w:p>
    <w:p>
      <w:pPr>
        <w:pStyle w:val="ListBullet"/>
        <w:keepLines/>
        <w:spacing w:after="60" w:line="252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Дополнительно обеспечивается непрерывное функционирование технических средств обеспечения транспортной безопасности в течение всего периода нахождения ТС на маршруте, включая предусмотренные остановки и стоянки.</w:t>
      </w:r>
    </w:p>
    <w:p>
      <w:pPr>
        <w:pStyle w:val="Heading2"/>
        <w:keepNext/>
      </w:pPr>
      <w:r>
        <w:t>4.3. При объявлении (установлении) уровня безопасности № 3</w:t>
      </w:r>
    </w:p>
    <w:p>
      <w:pPr>
        <w:pStyle w:val="ListBullet"/>
        <w:keepLines/>
        <w:spacing w:after="60" w:line="252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Все меры уровней № 1 и № 2 продолжают выполняться; технические средства обеспечения транспортной безопасности функционируют непрерывно и круглосуточно.</w:t>
      </w:r>
    </w:p>
    <w:p>
      <w:pPr>
        <w:pStyle w:val="ListBullet"/>
        <w:keepLines/>
        <w:spacing w:after="60" w:line="252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При необходимости на основании решения лица, ответственного за обеспечение транспортной безопасности в СТИ, или лица, ответственного за ОТБ ТС, перевозка прекращается.</w:t>
      </w:r>
    </w:p>
    <w:p>
      <w:pPr>
        <w:pStyle w:val="Heading1"/>
        <w:keepNext/>
      </w:pPr>
      <w:r>
        <w:t>5. Сведения об ответственных за обеспечение транспортной безопасности</w:t>
      </w:r>
    </w:p>
    <w:tbl>
      <w:tblPr>
        <w:tblStyle w:val="TableGrid"/>
        <w:tblW w:type="dxa" w:w="9638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3402"/>
        <w:gridCol w:w="6236"/>
      </w:tblGrid>
      <w:tr>
        <w:trPr>
          <w:tblHeader w:val="true"/>
        </w:trPr>
        <w:tc>
          <w:tcPr>
            <w:tcW w:type="dxa" w:w="9638"/>
            <w:gridSpan w:val="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DEDED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1"/>
              </w:rPr>
              <w:t>Ответственный в субъекте транспортной инфраструктуры (перевозчике)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Ф.И.О. ответственного за обеспечение транспортной безопасности в субъекте транспортной инфраструктуры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 / не требуется при одном ТС»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Должность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Мобильный телефон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Факс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 / отсутствует»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Электронная почта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Номер и дата приказа о назначении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</w:tbl>
    <w:p/>
    <w:tbl>
      <w:tblPr>
        <w:tblStyle w:val="TableGrid"/>
        <w:tblW w:type="dxa" w:w="9638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3402"/>
        <w:gridCol w:w="6236"/>
      </w:tblGrid>
      <w:tr>
        <w:trPr>
          <w:tblHeader w:val="true"/>
        </w:trPr>
        <w:tc>
          <w:tcPr>
            <w:tcW w:type="dxa" w:w="9638"/>
            <w:gridSpan w:val="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DEDED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1"/>
              </w:rPr>
              <w:t>Ответственный за транспортное средство (группу транспортных средств)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Ф.И.О. ответственного за обеспечение транспортной безопасности ТС (группы ТС)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Мобильный телефон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Факс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 / отсутствует»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Электронная почта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Номер и дата приказа, распоряжения или решения о назначении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</w:tbl>
    <w:p>
      <w:pPr>
        <w:pStyle w:val="Heading1"/>
        <w:keepNext/>
      </w:pPr>
      <w:r>
        <w:t>Приложения к паспорту</w:t>
      </w:r>
    </w:p>
    <w:p>
      <w:pPr>
        <w:spacing w:after="60" w:line="252" w:lineRule="auto"/>
        <w:numPr>
          <w:ilvl w:val="0"/>
          <w:numId w:val="10"/>
        </w:num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Результаты обследования и изучения реализуемых на транспортном средстве мер по предотвращению угроз совершения актов незаконного вмешательства с учетом Требований — на ___ л. в 1 экз.</w:t>
      </w:r>
    </w:p>
    <w:p>
      <w:pPr>
        <w:spacing w:after="60" w:line="252" w:lineRule="auto"/>
        <w:numPr>
          <w:ilvl w:val="0"/>
          <w:numId w:val="10"/>
        </w:num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Копии договоров с подразделениями транспортной безопасности либо положение (устав) подразделения транспортной безопасности ТС (если оно привлекается к защите) — на ___ л. в 1 экз. Копии договоров прилагаются в течение 6 месяцев с даты утверждения паспорта.</w:t>
      </w:r>
    </w:p>
    <w:p>
      <w:pPr>
        <w:spacing w:after="60" w:line="252" w:lineRule="auto"/>
        <w:numPr>
          <w:ilvl w:val="0"/>
          <w:numId w:val="10"/>
        </w:num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Организационная структура (схема) управления силами обеспечения транспортной безопасности ТС — на ___ л. в 1 экз.</w:t>
      </w:r>
    </w:p>
    <w:p>
      <w:pPr>
        <w:spacing w:after="60" w:line="252" w:lineRule="auto"/>
        <w:numPr>
          <w:ilvl w:val="0"/>
          <w:numId w:val="10"/>
        </w:num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Перечень штатных должностей лиц, осуществляющих на законных основаниях деятельность в зоне транспортной безопасности ТС — на ___ л. в 1 экз.</w:t>
      </w:r>
    </w:p>
    <w:p>
      <w:pPr>
        <w:spacing w:after="60" w:line="252" w:lineRule="auto"/>
        <w:numPr>
          <w:ilvl w:val="0"/>
          <w:numId w:val="10"/>
        </w:num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Правила информирования Росавтодора и уполномоченных подразделений ФСБ России, органов внутренних дел и Ространснадзора об угрозах и (или) совершении актов незаконного вмешательства — на ___ л. в 1 экз.</w:t>
      </w:r>
    </w:p>
    <w:p>
      <w:pPr>
        <w:spacing w:after="60" w:line="252" w:lineRule="auto"/>
        <w:numPr>
          <w:ilvl w:val="0"/>
          <w:numId w:val="10"/>
        </w:num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Порядок доведения до сил обеспечения транспортной безопасности ТС и экипажа информации об изменении уровней безопасности — на ___ л. в 1 экз.</w:t>
      </w:r>
    </w:p>
    <w:p>
      <w:pPr>
        <w:spacing w:after="60" w:line="252" w:lineRule="auto"/>
        <w:numPr>
          <w:ilvl w:val="0"/>
          <w:numId w:val="10"/>
        </w:num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Правила доступа к сведениям, содержащимся в паспорте обеспечения транспортной безопасности ТС — на ___ л. в 1 экз.</w:t>
      </w:r>
    </w:p>
    <w:p>
      <w:pPr>
        <w:spacing w:after="60" w:line="252" w:lineRule="auto"/>
        <w:numPr>
          <w:ilvl w:val="0"/>
          <w:numId w:val="10"/>
        </w:num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Согласованные с уполномоченными подразделениями ФСБ России, органов внутренних дел и Ространснадзора правила доступа к данным технических средств и их передачи — на ___ л. в 1 экз.</w:t>
      </w:r>
    </w:p>
    <w:p>
      <w:pPr>
        <w:spacing w:after="60" w:line="252" w:lineRule="auto"/>
        <w:numPr>
          <w:ilvl w:val="0"/>
          <w:numId w:val="10"/>
        </w:num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Схема размещения технических средств обеспечения транспортной безопасности ТС и пункта (пунктов) управления (при наличии) — на ___ л. в 1 экз.</w:t>
      </w:r>
    </w:p>
    <w:p>
      <w:pPr>
        <w:keepNext/>
        <w:pageBreakBefore/>
        <w:spacing w:before="120" w:after="0"/>
        <w:jc w:val="right"/>
      </w:pPr>
      <w:r>
        <w:rPr>
          <w:rFonts w:ascii="Times New Roman" w:hAnsi="Times New Roman" w:eastAsia="Times New Roman"/>
          <w:b w:val="0"/>
          <w:i w:val="0"/>
          <w:color w:val="000000"/>
          <w:sz w:val="18"/>
        </w:rPr>
        <w:t>Приложение 1</w:t>
        <w:br/>
        <w:t>к паспорту обеспечения транспортной безопасности</w:t>
      </w:r>
    </w:p>
    <w:p>
      <w:pPr>
        <w:spacing w:before="280" w:after="20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РЕЗУЛЬТАТЫ ОБСЛЕДОВАНИЯ И ИЗУЧЕНИЯ РЕАЛИЗУЕМЫХ МЕР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9638"/>
      </w:tblGrid>
      <w:tr>
        <w:tc>
          <w:tcPr>
            <w:tcW w:type="dxa" w:w="963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18"/>
              </w:rPr>
              <w:t>Заполните по результатам фактического обследования конкретного ТС. Не включайте предположительные сведения. При выявлении несоответствия укажите корректирующее мероприятие и срок.</w:t>
            </w:r>
          </w:p>
        </w:tc>
      </w:tr>
    </w:tbl>
    <w:p>
      <w:pPr>
        <w:spacing w:after="0"/>
      </w:pPr>
    </w:p>
    <w:tbl>
      <w:tblPr>
        <w:tblStyle w:val="TableGrid"/>
        <w:tblW w:type="dxa" w:w="9638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3402"/>
        <w:gridCol w:w="6236"/>
      </w:tblGrid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Дата и место обследования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Транспортное средство / группа ТС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Основание проведения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«ЗАПОЛНИТЬ: приказ, распоряжение»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Состав комиссии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</w:tbl>
    <w:p/>
    <w:tbl>
      <w:tblPr>
        <w:tblStyle w:val="TableGrid"/>
        <w:tblW w:type="dxa" w:w="9638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454"/>
        <w:gridCol w:w="2891"/>
        <w:gridCol w:w="2154"/>
        <w:gridCol w:w="1417"/>
        <w:gridCol w:w="2722"/>
      </w:tblGrid>
      <w:tr>
        <w:trPr>
          <w:tblHeader w:val="true"/>
        </w:trPr>
        <w:tc>
          <w:tcPr>
            <w:tcW w:type="dxa" w:w="4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DEDED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№</w:t>
            </w:r>
          </w:p>
        </w:tc>
        <w:tc>
          <w:tcPr>
            <w:tcW w:type="dxa" w:w="28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DEDED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Проверяемый элемент/мера</w:t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DEDED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Фактическое состояние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DEDED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Соответствие</w:t>
            </w:r>
          </w:p>
        </w:tc>
        <w:tc>
          <w:tcPr>
            <w:tcW w:type="dxa" w:w="272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DEDED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Корректирующее мероприятие, срок, ответственный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1</w:t>
            </w:r>
          </w:p>
        </w:tc>
        <w:tc>
          <w:tcPr>
            <w:tcW w:type="dxa" w:w="28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Назначение ответственных лиц и наличие приказов</w:t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«соответствует / не соответствует / не применимо»</w:t>
            </w:r>
          </w:p>
        </w:tc>
        <w:tc>
          <w:tcPr>
            <w:tcW w:type="dxa" w:w="272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2</w:t>
            </w:r>
          </w:p>
        </w:tc>
        <w:tc>
          <w:tcPr>
            <w:tcW w:type="dxa" w:w="28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Актуальность сведений в реестре Росавтодора</w:t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«соответствует / не соответствует / не применимо»</w:t>
            </w:r>
          </w:p>
        </w:tc>
        <w:tc>
          <w:tcPr>
            <w:tcW w:type="dxa" w:w="272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3</w:t>
            </w:r>
          </w:p>
        </w:tc>
        <w:tc>
          <w:tcPr>
            <w:tcW w:type="dxa" w:w="28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Осмотр ТС перед выходом на маршрут, после погрузки-выгрузки и по прибытии с маршрута</w:t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«соответствует / не соответствует / не применимо»</w:t>
            </w:r>
          </w:p>
        </w:tc>
        <w:tc>
          <w:tcPr>
            <w:tcW w:type="dxa" w:w="272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4</w:t>
            </w:r>
          </w:p>
        </w:tc>
        <w:tc>
          <w:tcPr>
            <w:tcW w:type="dxa" w:w="28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Ограничение доступа к кабине, системам, агрегатам и средствам управления</w:t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«соответствует / не соответствует / не применимо»</w:t>
            </w:r>
          </w:p>
        </w:tc>
        <w:tc>
          <w:tcPr>
            <w:tcW w:type="dxa" w:w="272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5</w:t>
            </w:r>
          </w:p>
        </w:tc>
        <w:tc>
          <w:tcPr>
            <w:tcW w:type="dxa" w:w="28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Видеонаблюдение места (мест) размещения опасного груза</w:t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«соответствует / не соответствует / не применимо»</w:t>
            </w:r>
          </w:p>
        </w:tc>
        <w:tc>
          <w:tcPr>
            <w:tcW w:type="dxa" w:w="272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6</w:t>
            </w:r>
          </w:p>
        </w:tc>
        <w:tc>
          <w:tcPr>
            <w:tcW w:type="dxa" w:w="28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Видеонаблюдение кабины водителя</w:t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«соответствует / не соответствует / не применимо»</w:t>
            </w:r>
          </w:p>
        </w:tc>
        <w:tc>
          <w:tcPr>
            <w:tcW w:type="dxa" w:w="272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7</w:t>
            </w:r>
          </w:p>
        </w:tc>
        <w:tc>
          <w:tcPr>
            <w:tcW w:type="dxa" w:w="28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Оповещение, основная и резервная связь</w:t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«соответствует / не соответствует / не применимо»</w:t>
            </w:r>
          </w:p>
        </w:tc>
        <w:tc>
          <w:tcPr>
            <w:tcW w:type="dxa" w:w="272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8</w:t>
            </w:r>
          </w:p>
        </w:tc>
        <w:tc>
          <w:tcPr>
            <w:tcW w:type="dxa" w:w="28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Запись и хранение видеоинформации не менее 30 суток</w:t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«соответствует / не соответствует / не применимо»</w:t>
            </w:r>
          </w:p>
        </w:tc>
        <w:tc>
          <w:tcPr>
            <w:tcW w:type="dxa" w:w="272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9</w:t>
            </w:r>
          </w:p>
        </w:tc>
        <w:tc>
          <w:tcPr>
            <w:tcW w:type="dxa" w:w="28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Порядок доступа к данным и их передачи уполномоченным органам</w:t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«соответствует / не соответствует / не применимо»</w:t>
            </w:r>
          </w:p>
        </w:tc>
        <w:tc>
          <w:tcPr>
            <w:tcW w:type="dxa" w:w="272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10</w:t>
            </w:r>
          </w:p>
        </w:tc>
        <w:tc>
          <w:tcPr>
            <w:tcW w:type="dxa" w:w="28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Непрерывная работа технических средств в период перевозки и на маршруте</w:t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«соответствует / не соответствует / не применимо»</w:t>
            </w:r>
          </w:p>
        </w:tc>
        <w:tc>
          <w:tcPr>
            <w:tcW w:type="dxa" w:w="272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11</w:t>
            </w:r>
          </w:p>
        </w:tc>
        <w:tc>
          <w:tcPr>
            <w:tcW w:type="dxa" w:w="28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Визуальный контроль при обслуживании, стоянках и остановках</w:t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«соответствует / не соответствует / не применимо»</w:t>
            </w:r>
          </w:p>
        </w:tc>
        <w:tc>
          <w:tcPr>
            <w:tcW w:type="dxa" w:w="272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12</w:t>
            </w:r>
          </w:p>
        </w:tc>
        <w:tc>
          <w:tcPr>
            <w:tcW w:type="dxa" w:w="28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Наличие и актуальность специального разрешения и маршрута перевозки</w:t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«соответствует / не соответствует / не применимо»</w:t>
            </w:r>
          </w:p>
        </w:tc>
        <w:tc>
          <w:tcPr>
            <w:tcW w:type="dxa" w:w="272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13</w:t>
            </w:r>
          </w:p>
        </w:tc>
        <w:tc>
          <w:tcPr>
            <w:tcW w:type="dxa" w:w="28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Подготовка и аттестация сил обеспечения транспортной безопасности</w:t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«соответствует / не соответствует / не применимо»</w:t>
            </w:r>
          </w:p>
        </w:tc>
        <w:tc>
          <w:tcPr>
            <w:tcW w:type="dxa" w:w="272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14</w:t>
            </w:r>
          </w:p>
        </w:tc>
        <w:tc>
          <w:tcPr>
            <w:tcW w:type="dxa" w:w="28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Проведение учений и тренировок</w:t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«соответствует / не соответствует / не применимо»</w:t>
            </w:r>
          </w:p>
        </w:tc>
        <w:tc>
          <w:tcPr>
            <w:tcW w:type="dxa" w:w="272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«ЗАПОЛНИТЬ»</w:t>
            </w:r>
          </w:p>
        </w:tc>
      </w:tr>
    </w:tbl>
    <w:p/>
    <w:tbl>
      <w:tblPr>
        <w:tblStyle w:val="TableGrid"/>
        <w:tblW w:type="dxa" w:w="9638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3402"/>
        <w:gridCol w:w="6236"/>
      </w:tblGrid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Вывод комиссии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«ЗАПОЛНИТЬ: меры реализованы / требуется корректировка»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Председатель комиссии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______________ / «ЗАПОЛНИТЬ Ф.И.О.» /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Члены комиссии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______________ / «ЗАПОЛНИТЬ Ф.И.О.» /</w:t>
            </w:r>
          </w:p>
        </w:tc>
      </w:tr>
    </w:tbl>
    <w:p>
      <w:pPr>
        <w:keepNext/>
        <w:pageBreakBefore/>
        <w:spacing w:before="120" w:after="0"/>
        <w:jc w:val="right"/>
      </w:pPr>
      <w:r>
        <w:rPr>
          <w:rFonts w:ascii="Times New Roman" w:hAnsi="Times New Roman" w:eastAsia="Times New Roman"/>
          <w:b w:val="0"/>
          <w:i w:val="0"/>
          <w:color w:val="000000"/>
          <w:sz w:val="18"/>
        </w:rPr>
        <w:t>Приложение 2</w:t>
        <w:br/>
        <w:t>к паспорту обеспечения транспортной безопасности</w:t>
      </w:r>
    </w:p>
    <w:p>
      <w:pPr>
        <w:spacing w:before="280" w:after="20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КОПИИ ДОГОВОРОВ С ПОДРАЗДЕЛЕНИЯМИ ТРАНСПОРТНОЙ БЕЗОПАСНОСТИ / ПОЛОЖЕНИЕ (УСТАВ) ПОДРАЗДЕЛЕНИЯ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9638"/>
      </w:tblGrid>
      <w:tr>
        <w:tc>
          <w:tcPr>
            <w:tcW w:type="dxa" w:w="963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18"/>
              </w:rPr>
              <w:t>Если подразделение транспортной безопасности не привлекается, укажите основание неприменимости. Если договор еще не приложен, соблюдите срок, указанный в типовой форме.</w:t>
            </w:r>
          </w:p>
        </w:tc>
      </w:tr>
    </w:tbl>
    <w:p>
      <w:pPr>
        <w:spacing w:after="0"/>
      </w:pPr>
    </w:p>
    <w:tbl>
      <w:tblPr>
        <w:tblStyle w:val="TableGrid"/>
        <w:tblW w:type="dxa" w:w="9638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3402"/>
        <w:gridCol w:w="6236"/>
      </w:tblGrid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Привлекаемое подразделение транспортной безопасности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 / не привлекается»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Договор: номер, дата, срок действия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Предмет и охватываемые маршруты/ТС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Количество листов приложенной копии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</w:tbl>
    <w:p>
      <w:pPr>
        <w:keepNext/>
        <w:pageBreakBefore/>
        <w:spacing w:before="120" w:after="0"/>
        <w:jc w:val="right"/>
      </w:pPr>
      <w:r>
        <w:rPr>
          <w:rFonts w:ascii="Times New Roman" w:hAnsi="Times New Roman" w:eastAsia="Times New Roman"/>
          <w:b w:val="0"/>
          <w:i w:val="0"/>
          <w:color w:val="000000"/>
          <w:sz w:val="18"/>
        </w:rPr>
        <w:t>Приложение 3</w:t>
        <w:br/>
        <w:t>к паспорту обеспечения транспортной безопасности</w:t>
      </w:r>
    </w:p>
    <w:p>
      <w:pPr>
        <w:spacing w:before="280" w:after="20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ОРГАНИЗАЦИОННАЯ СТРУКТУРА УПРАВЛЕНИЯ СИЛАМИ ОБЕСПЕЧЕНИЯ ТРАНСПОРТНОЙ БЕЗОПАСНОСТИ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9638"/>
      </w:tblGrid>
      <w:tr>
        <w:tc>
          <w:tcPr>
            <w:tcW w:type="dxa" w:w="963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18"/>
              </w:rPr>
              <w:t>Замените должности и каналы связи на фактические; при наличии отдельного пункта управления добавьте его в схему.</w:t>
            </w:r>
          </w:p>
        </w:tc>
      </w:tr>
    </w:tbl>
    <w:p>
      <w:pPr>
        <w:spacing w:after="0"/>
      </w:pPr>
    </w:p>
    <w:tbl>
      <w:tblPr>
        <w:tblStyle w:val="TableGrid"/>
        <w:tblW w:type="dxa" w:w="9638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1814"/>
        <w:gridCol w:w="2835"/>
        <w:gridCol w:w="2721"/>
        <w:gridCol w:w="2268"/>
      </w:tblGrid>
      <w:tr>
        <w:trPr>
          <w:tblHeader w:val="true"/>
        </w:trPr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DEDED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8"/>
              </w:rPr>
              <w:t>Уровень/роль</w:t>
            </w:r>
          </w:p>
        </w:tc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DEDED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8"/>
              </w:rPr>
              <w:t>Функции</w:t>
            </w:r>
          </w:p>
        </w:tc>
        <w:tc>
          <w:tcPr>
            <w:tcW w:type="dxa" w:w="272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DEDED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8"/>
              </w:rPr>
              <w:t>Кому подчиняется / с кем взаимодействует</w:t>
            </w:r>
          </w:p>
        </w:tc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DEDED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8"/>
              </w:rPr>
              <w:t>Основной и резервный канал связи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Руководитель перевозчика</w:t>
            </w:r>
          </w:p>
        </w:tc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Утверждает паспорт; принимает управленческие решения</w:t>
            </w:r>
          </w:p>
        </w:tc>
        <w:tc>
          <w:tcPr>
            <w:tcW w:type="dxa" w:w="272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Ответственный в СТИ</w:t>
            </w:r>
          </w:p>
        </w:tc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Ответственный за ОТБ в СТИ</w:t>
            </w:r>
          </w:p>
        </w:tc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Организует систему ОТБ; взаимодействует с органами власти</w:t>
            </w:r>
          </w:p>
        </w:tc>
        <w:tc>
          <w:tcPr>
            <w:tcW w:type="dxa" w:w="272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Руководитель; ответственный за ТС</w:t>
            </w:r>
          </w:p>
        </w:tc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Ответственный за ОТБ ТС</w:t>
            </w:r>
          </w:p>
        </w:tc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Контролирует меры по паспорту; организует осмотры и реагирование</w:t>
            </w:r>
          </w:p>
        </w:tc>
        <w:tc>
          <w:tcPr>
            <w:tcW w:type="dxa" w:w="272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Ответственный в СТИ; экипаж; ПТБ</w:t>
            </w:r>
          </w:p>
        </w:tc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Экипаж / водитель</w:t>
            </w:r>
          </w:p>
        </w:tc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Выполняет осмотр и контроль; докладывает об угрозах</w:t>
            </w:r>
          </w:p>
        </w:tc>
        <w:tc>
          <w:tcPr>
            <w:tcW w:type="dxa" w:w="272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Ответственный за ТС; 112</w:t>
            </w:r>
          </w:p>
        </w:tc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Привлеченное ПТБ (при наличии)</w:t>
            </w:r>
          </w:p>
        </w:tc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Участвует в защите ТС и реагировании в предусмотренных паспортом случаях</w:t>
            </w:r>
          </w:p>
        </w:tc>
        <w:tc>
          <w:tcPr>
            <w:tcW w:type="dxa" w:w="272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Ответственный в СТИ; ответственный за ТС</w:t>
            </w:r>
          </w:p>
        </w:tc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«ЗАПОЛНИТЬ»</w:t>
            </w:r>
          </w:p>
        </w:tc>
      </w:tr>
    </w:tbl>
    <w:p>
      <w:pPr>
        <w:keepNext/>
        <w:pageBreakBefore/>
        <w:spacing w:before="120" w:after="0"/>
        <w:jc w:val="right"/>
      </w:pPr>
      <w:r>
        <w:rPr>
          <w:rFonts w:ascii="Times New Roman" w:hAnsi="Times New Roman" w:eastAsia="Times New Roman"/>
          <w:b w:val="0"/>
          <w:i w:val="0"/>
          <w:color w:val="000000"/>
          <w:sz w:val="18"/>
        </w:rPr>
        <w:t>Приложение 4</w:t>
        <w:br/>
        <w:t>к паспорту обеспечения транспортной безопасности</w:t>
      </w:r>
    </w:p>
    <w:p>
      <w:pPr>
        <w:spacing w:before="280" w:after="20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ПЕРЕЧЕНЬ ШТАТНЫХ ДОЛЖНОСТЕЙ ЛИЦ, ОСУЩЕСТВЛЯЮЩИХ ДЕЯТЕЛЬНОСТЬ В ЗОНЕ ТРАНСПОРТНОЙ БЕЗОПАСНОСТИ ТС</w:t>
      </w:r>
    </w:p>
    <w:tbl>
      <w:tblPr>
        <w:tblStyle w:val="TableGrid"/>
        <w:tblW w:type="dxa" w:w="9638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454"/>
        <w:gridCol w:w="1814"/>
        <w:gridCol w:w="1928"/>
        <w:gridCol w:w="1757"/>
        <w:gridCol w:w="2154"/>
        <w:gridCol w:w="1531"/>
      </w:tblGrid>
      <w:tr>
        <w:trPr>
          <w:tblHeader w:val="true"/>
        </w:trPr>
        <w:tc>
          <w:tcPr>
            <w:tcW w:type="dxa" w:w="4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DEDED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№</w:t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DEDED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Организация</w:t>
            </w:r>
          </w:p>
        </w:tc>
        <w:tc>
          <w:tcPr>
            <w:tcW w:type="dxa" w:w="19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DEDED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Должность</w:t>
            </w:r>
          </w:p>
        </w:tc>
        <w:tc>
          <w:tcPr>
            <w:tcW w:type="dxa" w:w="175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DEDED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Основание доступа</w:t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DEDED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Функции в зоне ТБ</w:t>
            </w:r>
          </w:p>
        </w:tc>
        <w:tc>
          <w:tcPr>
            <w:tcW w:type="dxa" w:w="15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DEDED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Отметка о проверке/аттестации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1</w:t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«ЗАПОЛНИТЬ»</w:t>
            </w:r>
          </w:p>
        </w:tc>
        <w:tc>
          <w:tcPr>
            <w:tcW w:type="dxa" w:w="19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Водитель / водитель-экспедитор</w:t>
            </w:r>
          </w:p>
        </w:tc>
        <w:tc>
          <w:tcPr>
            <w:tcW w:type="dxa" w:w="175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«ЗАПОЛНИТЬ»</w:t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«ЗАПОЛНИТЬ»</w:t>
            </w:r>
          </w:p>
        </w:tc>
        <w:tc>
          <w:tcPr>
            <w:tcW w:type="dxa" w:w="15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«ЗАПОЛНИТЬ / не требуется»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2</w:t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«ЗАПОЛНИТЬ»</w:t>
            </w:r>
          </w:p>
        </w:tc>
        <w:tc>
          <w:tcPr>
            <w:tcW w:type="dxa" w:w="19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Ответственный за ОТБ ТС</w:t>
            </w:r>
          </w:p>
        </w:tc>
        <w:tc>
          <w:tcPr>
            <w:tcW w:type="dxa" w:w="175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«ЗАПОЛНИТЬ»</w:t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«ЗАПОЛНИТЬ»</w:t>
            </w:r>
          </w:p>
        </w:tc>
        <w:tc>
          <w:tcPr>
            <w:tcW w:type="dxa" w:w="15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«ЗАПОЛНИТЬ / не требуется»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3</w:t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«ЗАПОЛНИТЬ»</w:t>
            </w:r>
          </w:p>
        </w:tc>
        <w:tc>
          <w:tcPr>
            <w:tcW w:type="dxa" w:w="19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Работник ПТБ (при наличии)</w:t>
            </w:r>
          </w:p>
        </w:tc>
        <w:tc>
          <w:tcPr>
            <w:tcW w:type="dxa" w:w="175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«ЗАПОЛНИТЬ»</w:t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«ЗАПОЛНИТЬ»</w:t>
            </w:r>
          </w:p>
        </w:tc>
        <w:tc>
          <w:tcPr>
            <w:tcW w:type="dxa" w:w="15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«ЗАПОЛНИТЬ / не требуется»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4</w:t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«ЗАПОЛНИТЬ»</w:t>
            </w:r>
          </w:p>
        </w:tc>
        <w:tc>
          <w:tcPr>
            <w:tcW w:type="dxa" w:w="19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Технический специалист по обслуживанию средств ОТБ</w:t>
            </w:r>
          </w:p>
        </w:tc>
        <w:tc>
          <w:tcPr>
            <w:tcW w:type="dxa" w:w="175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«ЗАПОЛНИТЬ»</w:t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«ЗАПОЛНИТЬ»</w:t>
            </w:r>
          </w:p>
        </w:tc>
        <w:tc>
          <w:tcPr>
            <w:tcW w:type="dxa" w:w="15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«ЗАПОЛНИТЬ / не требуется»</w:t>
            </w:r>
          </w:p>
        </w:tc>
      </w:tr>
    </w:tbl>
    <w:p>
      <w:pPr>
        <w:keepNext/>
        <w:pageBreakBefore/>
        <w:spacing w:before="120" w:after="0"/>
        <w:jc w:val="right"/>
      </w:pPr>
      <w:r>
        <w:rPr>
          <w:rFonts w:ascii="Times New Roman" w:hAnsi="Times New Roman" w:eastAsia="Times New Roman"/>
          <w:b w:val="0"/>
          <w:i w:val="0"/>
          <w:color w:val="000000"/>
          <w:sz w:val="18"/>
        </w:rPr>
        <w:t>Приложение 5</w:t>
        <w:br/>
        <w:t>к паспорту обеспечения транспортной безопасности</w:t>
      </w:r>
    </w:p>
    <w:p>
      <w:pPr>
        <w:spacing w:before="280" w:after="20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ПРАВИЛА ИНФОРМИРОВАНИЯ ОБ УГРОЗАХ И (ИЛИ) СОВЕРШЕНИИ АКТОВ НЕЗАКОННОГО ВМЕШАТЕЛЬСТВА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9638"/>
      </w:tblGrid>
      <w:tr>
        <w:tc>
          <w:tcPr>
            <w:tcW w:type="dxa" w:w="963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18"/>
              </w:rPr>
              <w:t>Контакты территориальных органов должны быть предварительно проверены. Эти правила не заменяют обязательные согласованные формы и каналы взаимодействия.</w:t>
            </w:r>
          </w:p>
        </w:tc>
      </w:tr>
    </w:tbl>
    <w:p>
      <w:pPr>
        <w:spacing w:after="0"/>
      </w:pPr>
    </w:p>
    <w:p>
      <w:pPr>
        <w:spacing w:after="60" w:line="252" w:lineRule="auto"/>
        <w:numPr>
          <w:ilvl w:val="0"/>
          <w:numId w:val="11"/>
        </w:num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Лицо, выявившее угрозу или событие, не подвергая опасности экипаж, других лиц и перевозимый груз, незамедлительно сообщает водителю/ответственному за ОТБ ТС и при непосредственной угрозе — по единому номеру 112.</w:t>
      </w:r>
    </w:p>
    <w:p>
      <w:pPr>
        <w:spacing w:after="60" w:line="252" w:lineRule="auto"/>
        <w:numPr>
          <w:ilvl w:val="0"/>
          <w:numId w:val="11"/>
        </w:num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Ответственный за ОТБ ТС уточняет место, время, характер угрозы, сведения о ТС и маршруте, принятые меры, данные заявителя и незамедлительно передает информацию по утвержденным каналам.</w:t>
      </w:r>
    </w:p>
    <w:p>
      <w:pPr>
        <w:spacing w:after="60" w:line="252" w:lineRule="auto"/>
        <w:numPr>
          <w:ilvl w:val="0"/>
          <w:numId w:val="11"/>
        </w:num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Одновременно информируются Федеральное дорожное агентство и уполномоченные подразделения ФСБ России, МВД России и Ространснадзора в соответствии с утвержденной схемой оповещения.</w:t>
      </w:r>
    </w:p>
    <w:p>
      <w:pPr>
        <w:spacing w:after="60" w:line="252" w:lineRule="auto"/>
        <w:numPr>
          <w:ilvl w:val="0"/>
          <w:numId w:val="11"/>
        </w:num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Передавшее сообщение лицо фиксирует дату, время, адресата, канал, краткое содержание и полученное подтверждение в журнале сообщений.</w:t>
      </w:r>
    </w:p>
    <w:p>
      <w:pPr>
        <w:spacing w:after="60" w:line="252" w:lineRule="auto"/>
        <w:numPr>
          <w:ilvl w:val="0"/>
          <w:numId w:val="11"/>
        </w:num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Последующие уточнения передаются тем же адресатам; записи, видео и иные материалы сохраняются и предоставляются только уполномоченным получателям.</w:t>
      </w:r>
    </w:p>
    <w:p/>
    <w:tbl>
      <w:tblPr>
        <w:tblStyle w:val="TableGrid"/>
        <w:tblW w:type="dxa" w:w="9638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3402"/>
        <w:gridCol w:w="6236"/>
      </w:tblGrid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112 — единый номер экстренных оперативных служб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112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Федеральное дорожное агентство / уполномоченное подразделение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«ЗАПОЛНИТЬ: телефон, электронный канал»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Территориальный орган ФСБ России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Территориальный орган МВД России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Территориальный орган Ространснадзора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Ответственный за ОТБ в СТИ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Ответственный за ОТБ ТС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</w:tbl>
    <w:p>
      <w:pPr>
        <w:keepNext/>
        <w:pageBreakBefore/>
        <w:spacing w:before="120" w:after="0"/>
        <w:jc w:val="right"/>
      </w:pPr>
      <w:r>
        <w:rPr>
          <w:rFonts w:ascii="Times New Roman" w:hAnsi="Times New Roman" w:eastAsia="Times New Roman"/>
          <w:b w:val="0"/>
          <w:i w:val="0"/>
          <w:color w:val="000000"/>
          <w:sz w:val="18"/>
        </w:rPr>
        <w:t>Приложение 6</w:t>
        <w:br/>
        <w:t>к паспорту обеспечения транспортной безопасности</w:t>
      </w:r>
    </w:p>
    <w:p>
      <w:pPr>
        <w:spacing w:before="280" w:after="20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ПОРЯДОК ДОВЕДЕНИЯ ИНФОРМАЦИИ ОБ ИЗМЕНЕНИИ УРОВНЕЙ БЕЗОПАСНОСТИ</w:t>
      </w:r>
    </w:p>
    <w:p>
      <w:pPr>
        <w:spacing w:after="60" w:line="252" w:lineRule="auto"/>
        <w:numPr>
          <w:ilvl w:val="0"/>
          <w:numId w:val="12"/>
        </w:num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Сообщение об установлении, изменении или отмене уровня безопасности принимает ответственный за ОТБ в СТИ либо назначенный замещающий работник по официальному каналу.</w:t>
      </w:r>
    </w:p>
    <w:p>
      <w:pPr>
        <w:spacing w:after="60" w:line="252" w:lineRule="auto"/>
        <w:numPr>
          <w:ilvl w:val="0"/>
          <w:numId w:val="12"/>
        </w:num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Получатель проверяет источник и реквизиты сообщения, регистрирует дату и время получения, территорию и срок действия уровня.</w:t>
      </w:r>
    </w:p>
    <w:p>
      <w:pPr>
        <w:spacing w:after="60" w:line="252" w:lineRule="auto"/>
        <w:numPr>
          <w:ilvl w:val="0"/>
          <w:numId w:val="12"/>
        </w:num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Информация незамедлительно доводится до ответственного за ОТБ ТС, водителя/экипажа, задействованных сил ОТБ и пункта управления (при наличии) по основному каналу; при недоступности используется резервный канал.</w:t>
      </w:r>
    </w:p>
    <w:p>
      <w:pPr>
        <w:spacing w:after="60" w:line="252" w:lineRule="auto"/>
        <w:numPr>
          <w:ilvl w:val="0"/>
          <w:numId w:val="12"/>
        </w:num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Каждый получатель подтверждает получение. Неподтвержденные адресаты обзваниваются повторно; результат фиксируется.</w:t>
      </w:r>
    </w:p>
    <w:p>
      <w:pPr>
        <w:spacing w:after="60" w:line="252" w:lineRule="auto"/>
        <w:numPr>
          <w:ilvl w:val="0"/>
          <w:numId w:val="12"/>
        </w:num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Ответственный за ОТБ ТС объявляет применимый режим мер, контролирует начало их выполнения и докладывает ответственному в СТИ.</w:t>
      </w:r>
    </w:p>
    <w:p>
      <w:pPr>
        <w:spacing w:after="60" w:line="252" w:lineRule="auto"/>
        <w:numPr>
          <w:ilvl w:val="0"/>
          <w:numId w:val="12"/>
        </w:num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Отмена уровня доводится и регистрируется в том же порядке; документы и записи хранятся по правилам доступа к паспорту.</w:t>
      </w:r>
    </w:p>
    <w:p/>
    <w:tbl>
      <w:tblPr>
        <w:tblStyle w:val="TableGrid"/>
        <w:tblW w:type="dxa" w:w="9638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3402"/>
        <w:gridCol w:w="6236"/>
      </w:tblGrid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Основной канал доведения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Резервный канал доведения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Место ведения журнала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Ответственный за актуальность списка оповещения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</w:tbl>
    <w:p>
      <w:pPr>
        <w:keepNext/>
        <w:pageBreakBefore/>
        <w:spacing w:before="120" w:after="0"/>
        <w:jc w:val="right"/>
      </w:pPr>
      <w:r>
        <w:rPr>
          <w:rFonts w:ascii="Times New Roman" w:hAnsi="Times New Roman" w:eastAsia="Times New Roman"/>
          <w:b w:val="0"/>
          <w:i w:val="0"/>
          <w:color w:val="000000"/>
          <w:sz w:val="18"/>
        </w:rPr>
        <w:t>Приложение 7</w:t>
        <w:br/>
        <w:t>к паспорту обеспечения транспортной безопасности</w:t>
      </w:r>
    </w:p>
    <w:p>
      <w:pPr>
        <w:spacing w:before="280" w:after="20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ПРАВИЛА ДОСТУПА К СВЕДЕНИЯМ, СОДЕРЖАЩИМСЯ В ПАСПОРТЕ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9638"/>
      </w:tblGrid>
      <w:tr>
        <w:tc>
          <w:tcPr>
            <w:tcW w:type="dxa" w:w="963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18"/>
              </w:rPr>
              <w:t>Конкретный режим обращения со сведениями установите локальным актом с учетом части 8 статьи 5 Федерального закона № 16-ФЗ и применимых требований защиты информации.</w:t>
            </w:r>
          </w:p>
        </w:tc>
      </w:tr>
    </w:tbl>
    <w:p>
      <w:pPr>
        <w:spacing w:after="0"/>
      </w:pPr>
    </w:p>
    <w:p>
      <w:pPr>
        <w:spacing w:after="60" w:line="252" w:lineRule="auto"/>
        <w:numPr>
          <w:ilvl w:val="0"/>
          <w:numId w:val="13"/>
        </w:num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Доступ предоставляется только лицам, которым сведения необходимы для исполнения должностных обязанностей, на основании утвержденного руководителем перечня.</w:t>
      </w:r>
    </w:p>
    <w:p>
      <w:pPr>
        <w:spacing w:after="60" w:line="252" w:lineRule="auto"/>
        <w:numPr>
          <w:ilvl w:val="0"/>
          <w:numId w:val="13"/>
        </w:num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Каждый экземпляр паспорта и его приложений нумеруется, учитывается в журнале, хранится в запираемом месте; выдача и возврат оформляются подписью.</w:t>
      </w:r>
    </w:p>
    <w:p>
      <w:pPr>
        <w:spacing w:after="60" w:line="252" w:lineRule="auto"/>
        <w:numPr>
          <w:ilvl w:val="0"/>
          <w:numId w:val="13"/>
        </w:num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Копирование, фотографирование, сканирование и передача допускаются только с письменного разрешения уполномоченного руководителем лица и с регистрацией изготовленного экземпляра.</w:t>
      </w:r>
    </w:p>
    <w:p>
      <w:pPr>
        <w:spacing w:after="60" w:line="252" w:lineRule="auto"/>
        <w:numPr>
          <w:ilvl w:val="0"/>
          <w:numId w:val="13"/>
        </w:num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Электронные копии хранятся на определенных перевозчиком защищенных носителях/ресурсах; передача через неутвержденные каналы и личные учетные записи запрещается.</w:t>
      </w:r>
    </w:p>
    <w:p>
      <w:pPr>
        <w:spacing w:after="60" w:line="252" w:lineRule="auto"/>
        <w:numPr>
          <w:ilvl w:val="0"/>
          <w:numId w:val="13"/>
        </w:num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При увольнении, переводе или прекращении необходимости доступа все носители и копии возвращаются; права доступа отзываются.</w:t>
      </w:r>
    </w:p>
    <w:p>
      <w:pPr>
        <w:spacing w:after="60" w:line="252" w:lineRule="auto"/>
        <w:numPr>
          <w:ilvl w:val="0"/>
          <w:numId w:val="13"/>
        </w:num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Утрата, несанкционированное ознакомление или попытка копирования незамедлительно докладываются руководителю и ответственному за ОТБ; проводятся учет и служебная проверка.</w:t>
      </w:r>
    </w:p>
    <w:p>
      <w:pPr>
        <w:spacing w:after="60" w:line="252" w:lineRule="auto"/>
        <w:numPr>
          <w:ilvl w:val="0"/>
          <w:numId w:val="13"/>
        </w:num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Уничтожение учтенных копий производится комиссионно с оформлением акта способом, исключающим восстановление сведений.</w:t>
      </w:r>
    </w:p>
    <w:p/>
    <w:tbl>
      <w:tblPr>
        <w:tblStyle w:val="TableGrid"/>
        <w:tblW w:type="dxa" w:w="9638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3402"/>
        <w:gridCol w:w="6236"/>
      </w:tblGrid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Место хранения оригинала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Ответственный за учет и хранение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Номер и дата локального акта о доступе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Место хранения журнала учета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</w:tbl>
    <w:p>
      <w:pPr>
        <w:keepNext/>
        <w:pageBreakBefore/>
        <w:spacing w:before="120" w:after="0"/>
        <w:jc w:val="right"/>
      </w:pPr>
      <w:r>
        <w:rPr>
          <w:rFonts w:ascii="Times New Roman" w:hAnsi="Times New Roman" w:eastAsia="Times New Roman"/>
          <w:b w:val="0"/>
          <w:i w:val="0"/>
          <w:color w:val="000000"/>
          <w:sz w:val="18"/>
        </w:rPr>
        <w:t>Приложение 8</w:t>
        <w:br/>
        <w:t>к паспорту обеспечения транспортной безопасности</w:t>
      </w:r>
    </w:p>
    <w:p>
      <w:pPr>
        <w:spacing w:before="280" w:after="20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ПРАВИЛА ДОСТУПА К ДАННЫМ ТЕХНИЧЕСКИХ СРЕДСТВ И ИХ ПЕРЕДАЧИ УПОЛНОМОЧЕННЫМ ПОДРАЗДЕЛЕНИЯМ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9638"/>
      </w:tblGrid>
      <w:tr>
        <w:tc>
          <w:tcPr>
            <w:tcW w:type="dxa" w:w="963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18"/>
              </w:rPr>
              <w:t>ПРОЕКТ ДЛЯ СОГЛАСОВАНИЯ. Заполните фактические технические параметры и согласуйте правила с уполномоченными подразделениями ФСБ России, МВД России и Ространснадзора.</w:t>
            </w:r>
          </w:p>
        </w:tc>
      </w:tr>
    </w:tbl>
    <w:p>
      <w:pPr>
        <w:spacing w:after="0"/>
      </w:pPr>
    </w:p>
    <w:p>
      <w:pPr>
        <w:spacing w:after="60" w:line="252" w:lineRule="auto"/>
        <w:numPr>
          <w:ilvl w:val="0"/>
          <w:numId w:val="14"/>
        </w:num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Доступ предоставляется только по подтвержденному запросу уполномоченного подразделения либо в ином установленном порядке; полномочия и реквизиты запроса проверяются ответственным за ОТБ.</w:t>
      </w:r>
    </w:p>
    <w:p>
      <w:pPr>
        <w:spacing w:after="60" w:line="252" w:lineRule="auto"/>
        <w:numPr>
          <w:ilvl w:val="0"/>
          <w:numId w:val="14"/>
        </w:num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Определяются запрашиваемый период, вид данных, формат и защищенный канал передачи. Исходные записи сохраняются без изменения; при выгрузке обеспечивается возможность идентификации даты, времени и источника.</w:t>
      </w:r>
    </w:p>
    <w:p>
      <w:pPr>
        <w:spacing w:after="60" w:line="252" w:lineRule="auto"/>
        <w:numPr>
          <w:ilvl w:val="0"/>
          <w:numId w:val="14"/>
        </w:num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Передача производится назначенным работником с регистрацией основания, получателя, состава данных, даты, времени, способа передачи и подтверждения получения.</w:t>
      </w:r>
    </w:p>
    <w:p>
      <w:pPr>
        <w:spacing w:after="60" w:line="252" w:lineRule="auto"/>
        <w:numPr>
          <w:ilvl w:val="0"/>
          <w:numId w:val="14"/>
        </w:num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Учетные данные, ключи и технические интерфейсы не передаются неуполномоченным лицам. Работы подрядчика выполняются только в пределах оформленного допуска и под контролем ответственного.</w:t>
      </w:r>
    </w:p>
    <w:p>
      <w:pPr>
        <w:spacing w:after="60" w:line="252" w:lineRule="auto"/>
        <w:numPr>
          <w:ilvl w:val="0"/>
          <w:numId w:val="14"/>
        </w:num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При техническом сбое применяются резервный способ выгрузки/передачи и порядок уведомления ответственного; факт сбоя и восстановительные действия документируются.</w:t>
      </w:r>
    </w:p>
    <w:p/>
    <w:tbl>
      <w:tblPr>
        <w:tblStyle w:val="TableGrid"/>
        <w:tblW w:type="dxa" w:w="9638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3402"/>
        <w:gridCol w:w="6236"/>
      </w:tblGrid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Ответственный за предоставление данных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Основной способ/канал передачи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Резервный способ/канал передачи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Формат видеоданных и программное средство просмотра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Место ведения журнала обращений и выгрузок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</w:tbl>
    <w:p/>
    <w:tbl>
      <w:tblPr>
        <w:tblStyle w:val="TableGrid"/>
        <w:tblW w:type="dxa" w:w="9638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3969"/>
        <w:gridCol w:w="5669"/>
      </w:tblGrid>
      <w:tr>
        <w:tc>
          <w:tcPr>
            <w:tcW w:type="dxa" w:w="396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DEDED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СОГЛАСОВАНО</w:t>
            </w:r>
          </w:p>
        </w:tc>
        <w:tc>
          <w:tcPr>
            <w:tcW w:type="dxa" w:w="566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DEDED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Реквизиты согласования</w:t>
            </w:r>
          </w:p>
        </w:tc>
      </w:tr>
      <w:tr>
        <w:tc>
          <w:tcPr>
            <w:tcW w:type="dxa" w:w="396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Уполномоченное подразделение ФСБ России</w:t>
            </w:r>
          </w:p>
        </w:tc>
        <w:tc>
          <w:tcPr>
            <w:tcW w:type="dxa" w:w="566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«ЗАПОЛНИТЬ: должность, подпись, Ф.И.О., дата, печать/реквизиты письма»</w:t>
            </w:r>
          </w:p>
        </w:tc>
      </w:tr>
      <w:tr>
        <w:tc>
          <w:tcPr>
            <w:tcW w:type="dxa" w:w="396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Уполномоченное подразделение МВД России</w:t>
            </w:r>
          </w:p>
        </w:tc>
        <w:tc>
          <w:tcPr>
            <w:tcW w:type="dxa" w:w="566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«ЗАПОЛНИТЬ: должность, подпись, Ф.И.О., дата, печать/реквизиты письма»</w:t>
            </w:r>
          </w:p>
        </w:tc>
      </w:tr>
      <w:tr>
        <w:tc>
          <w:tcPr>
            <w:tcW w:type="dxa" w:w="396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Уполномоченное подразделение Ространснадзора</w:t>
            </w:r>
          </w:p>
        </w:tc>
        <w:tc>
          <w:tcPr>
            <w:tcW w:type="dxa" w:w="566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«ЗАПОЛНИТЬ: должность, подпись, Ф.И.О., дата, печать/реквизиты письма»</w:t>
            </w:r>
          </w:p>
        </w:tc>
      </w:tr>
    </w:tbl>
    <w:p>
      <w:pPr>
        <w:keepNext/>
        <w:pageBreakBefore/>
        <w:spacing w:before="120" w:after="0"/>
        <w:jc w:val="right"/>
      </w:pPr>
      <w:r>
        <w:rPr>
          <w:rFonts w:ascii="Times New Roman" w:hAnsi="Times New Roman" w:eastAsia="Times New Roman"/>
          <w:b w:val="0"/>
          <w:i w:val="0"/>
          <w:color w:val="000000"/>
          <w:sz w:val="18"/>
        </w:rPr>
        <w:t>Приложение 9</w:t>
        <w:br/>
        <w:t>к паспорту обеспечения транспортной безопасности</w:t>
      </w:r>
    </w:p>
    <w:p>
      <w:pPr>
        <w:spacing w:before="280" w:after="20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СХЕМА РАЗМЕЩЕНИЯ ТЕХНИЧЕСКИХ СРЕДСТВ ОБЕСПЕЧЕНИЯ ТРАНСПОРТНОЙ БЕЗОПАСНОСТИ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9638"/>
      </w:tblGrid>
      <w:tr>
        <w:tc>
          <w:tcPr>
            <w:tcW w:type="dxa" w:w="963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18"/>
              </w:rPr>
              <w:t>Вставьте фактическую схему ТС: вид сверху, кабину управления и место (места) размещения груза, включая цистерну, контейнер или грузовой отсек. Нанесите условные обозначения без указания паролей, ключей доступа или иных секретов эксплуатации.</w:t>
            </w:r>
          </w:p>
        </w:tc>
      </w:tr>
    </w:tbl>
    <w:p>
      <w:pPr>
        <w:spacing w:after="0"/>
      </w:pPr>
    </w:p>
    <w:tbl>
      <w:tblPr>
        <w:tblStyle w:val="TableGrid"/>
        <w:tblW w:type="dxa" w:w="9638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9638"/>
      </w:tblGrid>
      <w:tr>
        <w:tc>
          <w:tcPr>
            <w:tcW w:type="dxa" w:w="963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7F7F7"/>
          </w:tcPr>
          <w:p>
            <w:pPr>
              <w:spacing w:before="1800" w:after="180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2"/>
              </w:rPr>
              <w:t>МЕСТО ДЛЯ СХЕМЫ ТРАНСПОРТНОГО СРЕДСТВА</w:t>
              <w:br/>
              <w:br/>
              <w:t>«ВСТАВИТЬ ИЗОБРАЖЕНИЕ / ЧЕРТЕЖ»</w:t>
              <w:br/>
              <w:br/>
              <w:t>На схеме обозначить камеры в кабине управления и в месте (местах) размещения груза, устройство записи, средства связи и оповещения, пункт управления (при наличии), зоны обзора и кабельные/питающие подключения в объеме, необходимом для паспорта.</w:t>
            </w:r>
          </w:p>
        </w:tc>
      </w:tr>
    </w:tbl>
    <w:p/>
    <w:tbl>
      <w:tblPr>
        <w:tblStyle w:val="TableGrid"/>
        <w:tblW w:type="dxa" w:w="9638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3402"/>
        <w:gridCol w:w="6236"/>
      </w:tblGrid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Условные обозначения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Дата составления / актуализации схемы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Составил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«ЗАПОЛНИТЬ: должность, подпись, Ф.И.О.»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7F7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9"/>
              </w:rPr>
              <w:t>Проверил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2CC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«ЗАПОЛНИТЬ: должность, подпись, Ф.И.О.»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b w:val="0"/>
        <w:i w:val="0"/>
        <w:color w:val="666666"/>
        <w:sz w:val="18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67"/>
        </w:tabs>
        <w:ind w:left="567" w:hanging="283"/>
      </w:pPr>
    </w:lvl>
  </w:abstractNum>
  <w:num w:numId="10">
    <w:abstractNumId w:val="9"/>
  </w:num>
  <w:abstractNum w:abstractNumId="10">
    <w:multiLevelType w:val="singleLevel"/>
    <w:lvl w:ilvl="0">
      <w:start w:val="1"/>
      <w:numFmt w:val="decimal"/>
      <w:lvlText w:val="%1."/>
      <w:suff w:val="tab"/>
      <w:pPr>
        <w:tabs>
          <w:tab w:val="num" w:pos="567"/>
        </w:tabs>
        <w:ind w:left="567" w:hanging="283"/>
      </w:pPr>
    </w:lvl>
  </w:abstractNum>
  <w:num w:numId="11">
    <w:abstractNumId w:val="10"/>
  </w:num>
  <w:abstractNum w:abstractNumId="11">
    <w:multiLevelType w:val="singleLevel"/>
    <w:lvl w:ilvl="0">
      <w:start w:val="1"/>
      <w:numFmt w:val="decimal"/>
      <w:lvlText w:val="%1."/>
      <w:suff w:val="tab"/>
      <w:pPr>
        <w:tabs>
          <w:tab w:val="num" w:pos="567"/>
        </w:tabs>
        <w:ind w:left="567" w:hanging="283"/>
      </w:pPr>
    </w:lvl>
  </w:abstractNum>
  <w:num w:numId="12">
    <w:abstractNumId w:val="11"/>
  </w:num>
  <w:abstractNum w:abstractNumId="12">
    <w:multiLevelType w:val="singleLevel"/>
    <w:lvl w:ilvl="0">
      <w:start w:val="1"/>
      <w:numFmt w:val="decimal"/>
      <w:lvlText w:val="%1."/>
      <w:suff w:val="tab"/>
      <w:pPr>
        <w:tabs>
          <w:tab w:val="num" w:pos="567"/>
        </w:tabs>
        <w:ind w:left="567" w:hanging="283"/>
      </w:pPr>
    </w:lvl>
  </w:abstractNum>
  <w:num w:numId="13">
    <w:abstractNumId w:val="12"/>
  </w:num>
  <w:abstractNum w:abstractNumId="13">
    <w:multiLevelType w:val="singleLevel"/>
    <w:lvl w:ilvl="0">
      <w:start w:val="1"/>
      <w:numFmt w:val="decimal"/>
      <w:lvlText w:val="%1."/>
      <w:suff w:val="tab"/>
      <w:pPr>
        <w:tabs>
          <w:tab w:val="num" w:pos="567"/>
        </w:tabs>
        <w:ind w:left="567" w:hanging="283"/>
      </w:pPr>
    </w:lvl>
  </w:abstract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60" w:line="252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40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52" w:lineRule="auto"/>
      <w:contextualSpacing/>
    </w:pPr>
    <w:rPr>
      <w:rFonts w:ascii="Times New Roman" w:hAnsi="Times New Roman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 w:line="252" w:lineRule="auto"/>
      <w:contextualSpacing/>
    </w:pPr>
    <w:rPr>
      <w:rFonts w:ascii="Times New Roman" w:hAnsi="Times New Roman"/>
      <w:sz w:val="21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52" w:lineRule="auto"/>
      <w:contextualSpacing/>
    </w:pPr>
    <w:rPr>
      <w:rFonts w:ascii="Times New Roman" w:hAnsi="Times New Roman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обеспечения транспортной безопасности транспортного средства для перевозки опасных грузов</dc:title>
  <dc:subject>Типовая форма по постановлению Правительства РФ от 08.10.2020 № 1640</dc:subject>
  <dc:creator/>
  <cp:keywords>транспортная безопасность; опасные грузы; специальное разрешение; постановление 1640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