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Для служебного пользования</w:t>
        <w:br/>
        <w:t>Экз. № «ЗАПОЛНИТЬ»</w:t>
      </w:r>
    </w:p>
    <w:p>
      <w:pPr>
        <w:spacing w:after="280"/>
        <w:ind w:left="5216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УТВЕРЖДАЮ</w:t>
        <w:br/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«ЗАПОЛНИТЬ: должность руководителя»</w:t>
        <w:br/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______________  «ЗАПОЛНИТЬ: Ф.И.О.»</w:t>
        <w:br/>
      </w:r>
      <w:r>
        <w:rPr>
          <w:rFonts w:ascii="Times New Roman" w:hAnsi="Times New Roman" w:eastAsia="Times New Roman"/>
          <w:b w:val="0"/>
          <w:i w:val="0"/>
          <w:color w:val="666666"/>
          <w:sz w:val="16"/>
        </w:rPr>
        <w:t xml:space="preserve">        (подпись)</w:t>
        <w:br/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М.П.</w:t>
        <w:br/>
        <w:t>«___» ____________ 20___ г.</w:t>
      </w:r>
    </w:p>
    <w:p>
      <w:pPr>
        <w:spacing w:before="400" w:after="1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30"/>
        </w:rPr>
        <w:t>ПАСПОРТ</w:t>
      </w:r>
    </w:p>
    <w:p>
      <w:pPr>
        <w:spacing w:after="3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обеспечения транспортной безопасности транспортного средства (группы транспортных средств) автомобильного транспорта для перевозки пассажиров и багажа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РАБОЧИЙ ШАБЛОН. До утверждения заполните все желтые поля, удалите служебные подсказки и неприменимые варианты мер. Приложите фактические документы и схемы. Нормативная основа: типовая форма приложения к требованиям, утвержденным постановлением Правительства РФ от 08.10.2020 № 1640, в действующей редакции.</w:t>
            </w:r>
          </w:p>
        </w:tc>
      </w:tr>
    </w:tbl>
    <w:p>
      <w:pPr>
        <w:spacing w:after="0"/>
      </w:pPr>
    </w:p>
    <w:p>
      <w:pPr>
        <w:spacing w:before="92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«ЗАПОЛНИТЬ: населенный пункт»</w:t>
      </w:r>
    </w:p>
    <w:p>
      <w:pPr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20___ г.</w:t>
      </w:r>
    </w:p>
    <w:p>
      <w:r>
        <w:br w:type="page"/>
      </w:r>
    </w:p>
    <w:p>
      <w:pPr>
        <w:pStyle w:val="Heading1"/>
        <w:keepNext/>
      </w:pPr>
      <w:r>
        <w:t>1. Общие сведения о субъекте транспортной инфраструктуры (перевозчике)</w:t>
      </w: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Полное и краткое наименование; организационно-правовая форма по ОКОПФ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Адрес по ЕГРЮЛ/ЕГРИП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Фактический адрес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Контактные данные: телефон, факс, электронная почта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ОГРН/ОГРНИП и дата внесения записи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ИНН и дата присвоения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pStyle w:val="Heading1"/>
        <w:keepNext/>
      </w:pPr>
      <w:r>
        <w:t>2. Сведения о транспортном средстве (группе транспортных средств) и об осуществляемых перевозках</w:t>
      </w: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4139"/>
        <w:gridCol w:w="5499"/>
      </w:tblGrid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Реестровый номер (серия и номер) согласно реестру объектов транспортной инфраструктуры и транспортных средств (для группы — отдельно по каждому ТС)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Марка, модель (для группы — отдельно по каждому ТС)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Модификация (для группы — отдельно по каждому ТС)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Категория и класс по ТР ТС 018/2011 «О безопасности колесных транспортных средств»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Идентификационный номер (VIN) (в предусмотренных Требованиями случаях; для группы — отдельно по каждому ТС)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Идентификационный номер (VIN) подменных транспортных средств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отсутствуют»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Назначение перевозки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Перевозка пассажиров и багажа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Маршрут(ы): начальный, промежуточные и конечный пункты посадки-высадки; для группы — реестровый номер каждого ТС по каждому маршруту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«ЗАПОЛНИТЬ; при нескольких маршрутах приложить отдельный перечень»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Вид осуществляемой перевозки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регулярная / по заказу»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Вид сообщения осуществляемой перевозки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городское / пригородное / междугородное (в границах одного субъекта РФ) / международное»</w:t>
            </w:r>
          </w:p>
        </w:tc>
      </w:tr>
    </w:tbl>
    <w:p>
      <w:pPr>
        <w:sectPr>
          <w:footerReference w:type="default" r:id="rId9"/>
          <w:pgSz w:w="11906" w:h="16838"/>
          <w:pgMar w:top="1134" w:right="1134" w:bottom="1134" w:left="1134" w:header="567" w:footer="567" w:gutter="0"/>
          <w:cols w:space="720"/>
          <w:docGrid w:linePitch="360"/>
        </w:sectPr>
      </w:pPr>
    </w:p>
    <w:p>
      <w:pPr>
        <w:pStyle w:val="Heading1"/>
        <w:keepNext/>
      </w:pPr>
      <w:r>
        <w:t>3. Сведения об оснащенности техническими средствами обеспечения транспортной безопасности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Укажите только фактически установленные и введенные в эксплуатацию средства. Для каждого средства приведите марку/модель, серийный номер, характеристики, место установки и документ о вводе в эксплуатацию.</w:t>
            </w:r>
          </w:p>
        </w:tc>
      </w:tr>
    </w:tbl>
    <w:p>
      <w:pPr>
        <w:spacing w:after="0"/>
      </w:pPr>
    </w:p>
    <w:tbl>
      <w:tblPr>
        <w:tblStyle w:val="TableGrid"/>
        <w:tblW w:type="dxa" w:w="14003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567"/>
        <w:gridCol w:w="2324"/>
        <w:gridCol w:w="2494"/>
        <w:gridCol w:w="2948"/>
        <w:gridCol w:w="2268"/>
        <w:gridCol w:w="3402"/>
      </w:tblGrid>
      <w:tr>
        <w:trPr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№ п/п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Адрес местонахождения пункта управления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Ответственный за функционирование пункта управления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Наименование технического средства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Место размещения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Описание и характеристики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 / отсутствует»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 / не назначается»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Система видеонаблюдения и видеозаписи пассажирского салона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«ЗАПОЛНИТЬ: марка, модель, число камер, разрешение, серийные номера»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Система видеонаблюдения и видеозаписи кабины водителя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Средства оповещения и связи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«ЗАПОЛНИТЬ: тип связи, резервный канал, абонентские номера»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Средства обработки, накопления и хранения видеоинформации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«ЗАПОЛНИТЬ: срок хранения не менее 30 суток; емкость; порядок выгрузки»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 / отсутствует»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 / не назначается»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Оборудование пункта управления (при наличии)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</w:tbl>
    <w:p>
      <w:pPr>
        <w:sectPr>
          <w:pgSz w:w="16838" w:h="11906" w:orient="landscape"/>
          <w:pgMar w:top="850" w:right="850" w:bottom="850" w:left="850" w:header="567" w:footer="567" w:gutter="0"/>
          <w:cols w:space="720"/>
          <w:docGrid w:linePitch="360"/>
        </w:sectPr>
      </w:pPr>
    </w:p>
    <w:p>
      <w:pPr>
        <w:pStyle w:val="Heading1"/>
        <w:keepNext/>
      </w:pPr>
      <w:r>
        <w:t>4. Меры по обеспечению транспортной безопасности транспортного средства (группы транспортных средств)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Оставьте только один применимый вариант пассажирской перевозки — А или Б. Формулировки ниже являются проектом мер: дополните их фактическими исполнителями, местами, средствами, журналами и локальными документами.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4.1. При уровне безопасности № 1 (постоянный)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Приказами перевозчика назначены лицо, ответственное за обеспечение транспортной безопасности в субъекте транспортной инфраструктуры (при наличии более одного ТС), и лицо, ответственное за обеспечение транспортной безопасности данного ТС (группы ТС).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Сведения для ведения реестра объектов транспортной инфраструктуры и транспортных средств представлены в Федеральное дорожное агентство; изменения направляются в установленном порядке.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Защита ТС организована силами обеспечения транспортной безопасности в соответствии с настоящим паспортом; при предусмотренном законом взаимодействии привлекается подразделение транспортной безопасности объекта транспортной инфраструктуры.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ТС оснащено средствами видеонаблюдения и видеозаписи пассажирского салона и кабины водителя, оповещения и связи, обработки, накопления и хранения видеоинформации сроком не менее 30 суток. Исправность проверяется перед выпуском; результаты фиксируются в журнале.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Обеспечены доступ к данным технических средств и их передача уполномоченным подразделениям ФСБ России, МВД России и Ространснадзора в установленном порядке; все обращения и выгрузки регистрируются.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Лица, выполняющие работу, непосредственно связанную с обеспечением транспортной безопасности, проверены, подготовлены и аттестованы; лица с установленными законом ограничениями к такой работе не допускаются.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Пассажиры информируются в наглядной и доступной форме о применимых требованиях транспортной безопасности и запретах.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Доступ пассажиров и третьих лиц к системам, агрегатам, механизмам, средствам управления и обеспечения функционирования ТС ограничен конструктивными и организационными мерами.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Угрозы и факты совершения актов незаконного вмешательства незамедлительно передаются Росавтодору и уполномоченным подразделениям ФСБ России, МВД России и Ространснадзора по правилам приложения 5.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Изменения сведений и мер, влияющих на содержание паспорта, оформляются переутверждением и направлением в Росавтодор в сроки, установленные Требованиями; экземпляры паспорта учитываются и хранятся по правилам приложения 7.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Не реже одного раза в год проводятся учения и тренировки для оценки эффективности и полноты реализации паспорта с оформлением протокола и корректирующих мероприятий.</w:t>
      </w:r>
    </w:p>
    <w:p>
      <w:pPr>
        <w:pStyle w:val="Heading3"/>
        <w:keepNext/>
      </w:pPr>
      <w:r>
        <w:t>Вариант А — регулярные перевозки в международном сообщении и по межрегиональным маршрутам, кроме специально указанных в пункте 7 Требований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Осмотр ТС проводится силами обеспечения транспортной безопасности перед выходом на маршрут и по прибытии с маршрута для выявления запрещенных или ограниченных к перемещению предметов и веществ; факт осмотра фиксируется в журнале.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Досмотр пассажиров, багажа и ручной клади обеспечивается силами оснащенного мобильными/переносными средствами подразделения транспортной безопасности соответствующего объекта транспортной инфраструктуры; посадка вне объекта учитывается по правилам пункта 7 Требований.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Технические средства обеспечения транспортной безопасности функционируют непрерывно и круглосуточно.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 обслуживании, стоянке и остановке ТС осуществляется визуальный контроль для выявления перемещения запрещенных или ограниченных предметов и веществ.</w:t>
      </w:r>
    </w:p>
    <w:p>
      <w:pPr>
        <w:pStyle w:val="Heading3"/>
        <w:keepNext/>
      </w:pPr>
      <w:r>
        <w:t>Вариант Б — регулярные городские, пригородные и междугородные перевозки в границах одного субъекта РФ; перевозки по заказу; иные случаи пункта 10 Требований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Осмотр ТС проводится перед выходом на маршрут, по прибытии с маршрута и в местах технологических остановок (стоянок) для выявления запрещенных или ограниченных к перемещению предметов и веществ; факт осмотра фиксируется в журнале.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Технические средства обеспечения транспортной безопасности функционируют непрерывно и круглосуточно.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Обеспечивается устойчивая основная и резервная связь экипажа с ответственным за обеспечение транспортной безопасности ТС либо с пунктом управления (при наличии).</w:t>
      </w:r>
    </w:p>
    <w:p>
      <w:pPr>
        <w:pStyle w:val="Heading2"/>
        <w:keepNext/>
      </w:pPr>
      <w:r>
        <w:t>4.2. При объявлении (установлении) уровня безопасности № 2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Все меры уровня № 1 продолжают выполняться в полном объеме; информация об изменении уровня доводится по приложению 6, факт получения подтверждается и регистрируется.</w:t>
      </w:r>
    </w:p>
    <w:p>
      <w:pPr>
        <w:pStyle w:val="Heading3"/>
        <w:keepNext/>
      </w:pPr>
      <w:r>
        <w:t>Дополнительно для варианта А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Силами привлеченного подразделения транспортной безопасности объекта проводится повторный досмотр не менее 25 процентов пассажиров, багажа и ручной клади, проходящих (перемещаемых) на ТС.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 посадке и высадке обеспечивается непрерывный контроль входных дверей ТС для выявления признаков подготовки или попыток совершения акта незаконного вмешательства.</w:t>
      </w:r>
    </w:p>
    <w:p>
      <w:pPr>
        <w:pStyle w:val="Heading3"/>
        <w:keepNext/>
      </w:pPr>
      <w:r>
        <w:t>Дополнительно для варианта Б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Силами обеспечения транспортной безопасности ТС проводится обследование средствами досмотра не менее 30 процентов пассажиров, багажа и ручной клади; при технологическом взаимодействии может привлекаться оснащенное подразделение транспортной безопасности объекта.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 посадке и высадке путем непрерывного контроля входных дверей выявляются нарушители и признаки подготовки либо совершения акта незаконного вмешательства.</w:t>
      </w:r>
    </w:p>
    <w:p>
      <w:pPr>
        <w:pStyle w:val="Heading2"/>
        <w:keepNext/>
      </w:pPr>
      <w:r>
        <w:t>4.3. При объявлении (установлении) уровня безопасности № 3</w:t>
      </w:r>
    </w:p>
    <w:p>
      <w:pPr>
        <w:pStyle w:val="ListBullet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Все меры уровней № 1 и № 2 продолжают выполняться; организуется усиленный контроль исполнения и постоянная связь с ответственными лицами и экстренными оперативными службами.</w:t>
      </w:r>
    </w:p>
    <w:p>
      <w:pPr>
        <w:pStyle w:val="Heading3"/>
        <w:keepNext/>
      </w:pPr>
      <w:r>
        <w:t>Дополнительно для варианта А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Силами привлеченного подразделения транспортной безопасности объекта проводится повторный досмотр не менее 50 процентов пассажиров, багажа и ручной клади либо по решению ответственного лица перевозка прекращается.</w:t>
      </w:r>
    </w:p>
    <w:p>
      <w:pPr>
        <w:pStyle w:val="Heading3"/>
        <w:keepNext/>
      </w:pPr>
      <w:r>
        <w:t>Дополнительно для варианта Б</w:t>
      </w:r>
    </w:p>
    <w:p>
      <w:pPr>
        <w:pStyle w:val="ListBullet2"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Силами обеспечения транспортной безопасности ТС проводится обследование средствами досмотра всех пассажиров, багажа и ручной клади либо по решению ответственного лица перевозка прекращается; при взаимодействии допускается привлечение подразделения транспортной безопасности объекта и его средств досмотра.</w:t>
      </w:r>
    </w:p>
    <w:p>
      <w:pPr>
        <w:pStyle w:val="Heading1"/>
        <w:keepNext/>
      </w:pPr>
      <w:r>
        <w:t>5. Сведения об ответственных за обеспечение транспортной безопасности</w:t>
      </w: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tblHeader w:val="true"/>
        </w:trPr>
        <w:tc>
          <w:tcPr>
            <w:tcW w:type="dxa" w:w="9638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Ответственный в субъекте транспортной инфраструктуры (перевозчике)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Ф.И.О. ответственного за обеспечение транспортной безопасности в субъекте транспортной инфраструктуры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не требуется при одном ТС»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Должность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Мобильный телефон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Факс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отсутствует»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Электронная почта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Номер и дата приказа о назначении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tblHeader w:val="true"/>
        </w:trPr>
        <w:tc>
          <w:tcPr>
            <w:tcW w:type="dxa" w:w="9638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Ответственный за транспортное средство (группу транспортных средств)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Ф.И.О. ответственного за обеспечение транспортной безопасности ТС (группы ТС)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Мобильный телефон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Факс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отсутствует»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Электронная почта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Номер и дата приказа, распоряжения или решения о назначении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pStyle w:val="Heading1"/>
        <w:keepNext/>
      </w:pPr>
      <w:r>
        <w:t>Приложения к паспорту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Результаты обследования и изучения реализуемых на транспортном средстве мер по предотвращению угроз совершения актов незаконного вмешательства с учетом Требований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Копии договоров с подразделениями транспортной безопасности либо положение (устав) подразделения транспортной безопасности ТС (если оно привлекается к защите) — на ___ л. в 1 экз. Копии договоров прилагаются в течение 6 месяцев с даты утверждения паспорта.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Организационная структура (схема) управления силами обеспечения транспортной безопасности ТС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Перечень штатных должностей лиц, осуществляющих на законных основаниях деятельность в зоне транспортной безопасности ТС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Правила информирования Росавтодора и уполномоченных подразделений ФСБ России, органов внутренних дел и Ространснадзора об угрозах и (или) совершении актов незаконного вмешательства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Порядок доведения до сил обеспечения транспортной безопасности ТС и экипажа информации об изменении уровней безопасности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Правила доступа к сведениям, содержащимся в паспорте обеспечения транспортной безопасности ТС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Согласованные с уполномоченными подразделениями ФСБ России, органов внутренних дел и Ространснадзора правила доступа к данным технических средств и их передачи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Схема размещения технических средств обеспечения транспортной безопасности ТС и пункта (пунктов) управления (при наличии) — на ___ л. в 1 экз.</w:t>
      </w:r>
    </w:p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1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РЕЗУЛЬТАТЫ ОБСЛЕДОВАНИЯ И ИЗУЧЕНИЯ РЕАЛИЗУЕМЫХ МЕР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Заполните по результатам фактического обследования конкретного ТС. Не включайте предположительные сведения. При выявлении несоответствия укажите корректирующее мероприятие и срок.</w:t>
            </w:r>
          </w:p>
        </w:tc>
      </w:tr>
    </w:tbl>
    <w:p>
      <w:pPr>
        <w:spacing w:after="0"/>
      </w:pP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Дата и место обследования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Транспортное средство / группа ТС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Основание проведения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приказ, распоряжение»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Состав комиссии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454"/>
        <w:gridCol w:w="2891"/>
        <w:gridCol w:w="2154"/>
        <w:gridCol w:w="1417"/>
        <w:gridCol w:w="2722"/>
      </w:tblGrid>
      <w:tr>
        <w:trPr>
          <w:tblHeader w:val="true"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№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Проверяемый элемент/мера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Фактическое состояние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Соответствие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Корректирующее мероприятие, срок, ответственный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Назначение ответственных лиц и наличие приказов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Актуальность сведений в реестре Росавтодора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Организация предмаршрутного, послемаршрутного и технологического осмотра ТС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Ограничение доступа к кабине, системам, агрегатам и средствам управления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Видеонаблюдение пассажирского салона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Видеонаблюдение кабины водителя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Оповещение, основная и резервная связь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Запись и хранение видеоинформации не менее 30 суток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Порядок доступа к данным и их передачи уполномоченным органам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Информирование пассажиров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Подготовка и аттестация сил обеспечения транспортной безопасности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Проведение учений и тренировок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Вывод комиссии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меры реализованы / требуется корректировка»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Председатель комиссии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 / «ЗАПОЛНИТЬ Ф.И.О.» /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Члены комиссии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 / «ЗАПОЛНИТЬ Ф.И.О.» /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2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КОПИИ ДОГОВОРОВ С ПОДРАЗДЕЛЕНИЯМИ ТРАНСПОРТНОЙ БЕЗОПАСНОСТИ / ПОЛОЖЕНИЕ (УСТАВ) ПОДРАЗДЕЛЕНИЯ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Если подразделение транспортной безопасности не привлекается, укажите основание неприменимости. Если договор еще не приложен, соблюдите срок, указанный в типовой форме.</w:t>
            </w:r>
          </w:p>
        </w:tc>
      </w:tr>
    </w:tbl>
    <w:p>
      <w:pPr>
        <w:spacing w:after="0"/>
      </w:pP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Привлекаемое подразделение транспортной безопасности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не привлекается»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Договор: номер, дата, срок действия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Предмет и охватываемые маршруты/ТС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Количество листов приложенной копии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3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ОРГАНИЗАЦИОННАЯ СТРУКТУРА УПРАВЛЕНИЯ СИЛАМИ ОБЕСПЕЧЕНИЯ ТРАНСПОРТНОЙ БЕЗОПАСНОСТИ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Замените должности и каналы связи на фактические; при наличии отдельного пункта управления добавьте его в схему.</w:t>
            </w:r>
          </w:p>
        </w:tc>
      </w:tr>
    </w:tbl>
    <w:p>
      <w:pPr>
        <w:spacing w:after="0"/>
      </w:pP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814"/>
        <w:gridCol w:w="2835"/>
        <w:gridCol w:w="2721"/>
        <w:gridCol w:w="2268"/>
      </w:tblGrid>
      <w:tr>
        <w:trPr>
          <w:tblHeader w:val="true"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Уровень/роль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Функции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Кому подчиняется / с кем взаимодействует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Основной и резервный канал связи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Руководитель перевозчика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Утверждает паспорт; принимает управленческие решения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в СТИ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за ОТБ в СТИ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Организует систему ОТБ; взаимодействует с органами власти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Руководитель; ответственный за ТС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за ОТБ ТС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Контролирует меры по паспорту; организует осмотры и реагирование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в СТИ; экипаж; ПТБ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Экипаж / водитель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Выполняет осмотр и контроль; докладывает об угрозах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за ТС; 112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Привлеченное ПТБ (при наличии)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Проводит предусмотренный досмотр/повторный досмотр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в СТИ; ОТИ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4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ПЕРЕЧЕНЬ ШТАТНЫХ ДОЛЖНОСТЕЙ ЛИЦ, ОСУЩЕСТВЛЯЮЩИХ ДЕЯТЕЛЬНОСТЬ В ЗОНЕ ТРАНСПОРТНОЙ БЕЗОПАСНОСТИ ТС</w:t>
      </w: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454"/>
        <w:gridCol w:w="1814"/>
        <w:gridCol w:w="1928"/>
        <w:gridCol w:w="1757"/>
        <w:gridCol w:w="2154"/>
        <w:gridCol w:w="1531"/>
      </w:tblGrid>
      <w:tr>
        <w:trPr>
          <w:tblHeader w:val="true"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№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Организация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Должность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доступа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Функции в зоне ТБ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Отметка о проверке/аттестации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Водитель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 / не требуется»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2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Ответственный за ОТБ ТС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 / не требуется»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3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Работник ПТБ (при наличии)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 / не требуется»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4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Технический специалист по обслуживанию средств ОТБ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 / не требуется»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5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ПРАВИЛА ИНФОРМИРОВАНИЯ ОБ УГРОЗАХ И (ИЛИ) СОВЕРШЕНИИ АКТОВ НЕЗАКОННОГО ВМЕШАТЕЛЬСТВА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Контакты территориальных органов должны быть предварительно проверены. Эти правила не заменяют обязательные согласованные формы и каналы взаимодействия.</w:t>
            </w:r>
          </w:p>
        </w:tc>
      </w:tr>
    </w:tbl>
    <w:p>
      <w:pPr>
        <w:spacing w:after="0"/>
      </w:pP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Лицо, выявившее угрозу или событие, не подвергая опасности пассажиров, незамедлительно сообщает водителю/ответственному за ОТБ ТС и при непосредственной угрозе — по единому номеру 112.</w:t>
      </w: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Ответственный за ОТБ ТС уточняет место, время, характер угрозы, сведения о ТС и маршруте, принятые меры, данные заявителя и незамедлительно передает информацию по утвержденным каналам.</w:t>
      </w: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Одновременно информируются Федеральное дорожное агентство и уполномоченные подразделения ФСБ России, МВД России и Ространснадзора в соответствии с утвержденной схемой оповещения.</w:t>
      </w: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Передавшее сообщение лицо фиксирует дату, время, адресата, канал, краткое содержание и полученное подтверждение в журнале сообщений.</w:t>
      </w: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Последующие уточнения передаются тем же адресатам; записи, видео и иные материалы сохраняются и предоставляются только уполномоченным получателям.</w:t>
      </w:r>
    </w:p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112 — единый номер экстренных оперативных служб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112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Федеральное дорожное агентство / уполномоченное подразделение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телефон, электронный канал»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Территориальный орган ФСБ России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Территориальный орган МВД России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Территориальный орган Ространснадзора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ОТБ в СТИ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ОТБ ТС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6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ПОРЯДОК ДОВЕДЕНИЯ ИНФОРМАЦИИ ОБ ИЗМЕНЕНИИ УРОВНЕЙ БЕЗОПАСНОСТИ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Сообщение об установлении, изменении или отмене уровня безопасности принимает ответственный за ОТБ в СТИ либо назначенный замещающий работник по официальному каналу.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Получатель проверяет источник и реквизиты сообщения, регистрирует дату и время получения, территорию и срок действия уровня.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Информация незамедлительно доводится до ответственного за ОТБ ТС, водителя/экипажа, задействованных сил ОТБ и пункта управления (при наличии) по основному каналу; при недоступности используется резервный канал.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Каждый получатель подтверждает получение. Неподтвержденные адресаты обзваниваются повторно; результат фиксируется.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Ответственный за ОТБ ТС объявляет применимый режим мер, контролирует начало их выполнения и докладывает ответственному в СТИ.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Отмена уровня доводится и регистрируется в том же порядке; документы и записи хранятся по правилам доступа к паспорту.</w:t>
      </w:r>
    </w:p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Основной канал доведения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Резервный канал доведения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Место ведения журнала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актуальность списка оповещения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7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ПРАВИЛА ДОСТУПА К СВЕДЕНИЯМ, СОДЕРЖАЩИМСЯ В ПАСПОРТЕ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Конкретный режим обращения со сведениями установите локальным актом с учетом части 8 статьи 5 Федерального закона № 16-ФЗ и применимых требований защиты информации.</w:t>
            </w:r>
          </w:p>
        </w:tc>
      </w:tr>
    </w:tbl>
    <w:p>
      <w:pPr>
        <w:spacing w:after="0"/>
      </w:pP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Доступ предоставляется только лицам, которым сведения необходимы для исполнения должностных обязанностей, на основании утвержденного руководителем перечня.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Каждый экземпляр паспорта и его приложений нумеруется, учитывается в журнале, хранится в запираемом месте; выдача и возврат оформляются подписью.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Копирование, фотографирование, сканирование и передача допускаются только с письменного разрешения уполномоченного руководителем лица и с регистрацией изготовленного экземпляра.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Электронные копии хранятся на определенных перевозчиком защищенных носителях/ресурсах; передача через неутвержденные каналы и личные учетные записи запрещается.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 увольнении, переводе или прекращении необходимости доступа все носители и копии возвращаются; права доступа отзываются.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Утрата, несанкционированное ознакомление или попытка копирования незамедлительно докладываются руководителю и ответственному за ОТБ; проводятся учет и служебная проверка.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Уничтожение учтенных копий производится комиссионно с оформлением акта способом, исключающим восстановление сведений.</w:t>
      </w:r>
    </w:p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Место хранения оригинала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учет и хранение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Номер и дата локального акта о доступе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Место хранения журнала учета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8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ПРАВИЛА ДОСТУПА К ДАННЫМ ТЕХНИЧЕСКИХ СРЕДСТВ И ИХ ПЕРЕДАЧИ УПОЛНОМОЧЕННЫМ ПОДРАЗДЕЛЕНИЯМ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ПРОЕКТ ДЛЯ СОГЛАСОВАНИЯ. Заполните фактические технические параметры и согласуйте правила с уполномоченными подразделениями ФСБ России, МВД России и Ространснадзора.</w:t>
            </w:r>
          </w:p>
        </w:tc>
      </w:tr>
    </w:tbl>
    <w:p>
      <w:pPr>
        <w:spacing w:after="0"/>
      </w:pP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Доступ предоставляется только по подтвержденному запросу уполномоченного подразделения либо в ином установленном порядке; полномочия и реквизиты запроса проверяются ответственным за ОТБ.</w:t>
      </w: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Определяются запрашиваемый период, вид данных, формат и защищенный канал передачи. Исходные записи сохраняются без изменения; при выгрузке обеспечивается возможность идентификации даты, времени и источника.</w:t>
      </w: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Передача производится назначенным работником с регистрацией основания, получателя, состава данных, даты, времени, способа передачи и подтверждения получения.</w:t>
      </w: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Учетные данные, ключи и технические интерфейсы не передаются неуполномоченным лицам. Работы подрядчика выполняются только в пределах оформленного допуска и под контролем ответственного.</w:t>
      </w: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 техническом сбое применяются резервный способ выгрузки/передачи и порядок уведомления ответственного; факт сбоя и восстановительные действия документируются.</w:t>
      </w:r>
    </w:p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предоставление данных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Основной способ/канал передачи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Резервный способ/канал передачи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Формат видеоданных и программное средство просмотра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Место ведения журнала обращений и выгрузок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969"/>
        <w:gridCol w:w="5669"/>
      </w:tblGrid>
      <w:t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СОГЛАСОВАНО</w:t>
            </w:r>
          </w:p>
        </w:tc>
        <w:tc>
          <w:tcPr>
            <w:tcW w:type="dxa" w:w="56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Реквизиты согласования</w:t>
            </w:r>
          </w:p>
        </w:tc>
      </w:tr>
      <w:t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Уполномоченное подразделение ФСБ России</w:t>
            </w:r>
          </w:p>
        </w:tc>
        <w:tc>
          <w:tcPr>
            <w:tcW w:type="dxa" w:w="56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«ЗАПОЛНИТЬ: должность, подпись, Ф.И.О., дата, печать/реквизиты письма»</w:t>
            </w:r>
          </w:p>
        </w:tc>
      </w:tr>
      <w:t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Уполномоченное подразделение МВД России</w:t>
            </w:r>
          </w:p>
        </w:tc>
        <w:tc>
          <w:tcPr>
            <w:tcW w:type="dxa" w:w="56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«ЗАПОЛНИТЬ: должность, подпись, Ф.И.О., дата, печать/реквизиты письма»</w:t>
            </w:r>
          </w:p>
        </w:tc>
      </w:tr>
      <w:t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Уполномоченное подразделение Ространснадзора</w:t>
            </w:r>
          </w:p>
        </w:tc>
        <w:tc>
          <w:tcPr>
            <w:tcW w:type="dxa" w:w="56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«ЗАПОЛНИТЬ: должность, подпись, Ф.И.О., дата, печать/реквизиты письма»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9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СХЕМА РАЗМЕЩЕНИЯ ТЕХНИЧЕСКИХ СРЕДСТВ ОБЕСПЕЧЕНИЯ ТРАНСПОРТНОЙ БЕЗОПАСНОСТИ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Вставьте фактическую схему ТС: вид сверху и при необходимости виды салона/кабины. Нанесите условные обозначения без указания паролей, ключей доступа или иных секретов эксплуатации.</w:t>
            </w:r>
          </w:p>
        </w:tc>
      </w:tr>
    </w:tbl>
    <w:p>
      <w:pPr>
        <w:spacing w:after="0"/>
      </w:pP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1800" w:after="180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2"/>
              </w:rPr>
              <w:t>МЕСТО ДЛЯ СХЕМЫ ТРАНСПОРТНОГО СРЕДСТВА</w:t>
              <w:br/>
              <w:br/>
              <w:t>«ВСТАВИТЬ ИЗОБРАЖЕНИЕ / ЧЕРТЕЖ»</w:t>
              <w:br/>
              <w:br/>
              <w:t>На схеме обозначить камеры, устройство записи, средства связи и оповещения, пункт управления (при наличии), зоны обзора и кабельные/питающие подключения в объеме, необходимом для паспорта.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Условные обозначения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Дата составления / актуализации схемы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Составил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должность, подпись, Ф.И.О.»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Проверил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должность, подпись, Ф.И.О.»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contextualSpacing/>
    </w:pPr>
    <w:rPr>
      <w:rFonts w:ascii="Times New Roman" w:hAnsi="Times New Roman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 w:line="252" w:lineRule="auto"/>
      <w:contextualSpacing/>
    </w:pPr>
    <w:rPr>
      <w:rFonts w:ascii="Times New Roman" w:hAnsi="Times New Roman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52" w:lineRule="auto"/>
      <w:contextualSpacing/>
    </w:pPr>
    <w:rPr>
      <w:rFonts w:ascii="Times New Roman" w:hAnsi="Times New Roman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обеспечения транспортной безопасности пассажирского транспортного средства</dc:title>
  <dc:subject>Типовая форма по постановлению Правительства РФ от 08.10.2020 № 1640</dc:subject>
  <dc:creator/>
  <cp:keywords>транспортная безопасность; пассажирские перевозки; постановление 1640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